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093E" w14:textId="4FBAC92D" w:rsidR="00695BDD" w:rsidRPr="00A01A57" w:rsidRDefault="00695BDD" w:rsidP="0069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1A5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</w:t>
      </w:r>
    </w:p>
    <w:p w14:paraId="270A6CA7" w14:textId="1D712A46" w:rsidR="00695BDD" w:rsidRPr="008161AA" w:rsidRDefault="002545FD" w:rsidP="0081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695BDD" w:rsidRPr="00A01A57">
        <w:rPr>
          <w:rFonts w:ascii="Times New Roman" w:hAnsi="Times New Roman" w:cs="Times New Roman"/>
          <w:b/>
          <w:sz w:val="24"/>
          <w:szCs w:val="24"/>
          <w:lang w:val="uk-UA"/>
        </w:rPr>
        <w:t>Роботи по розробці проектно</w:t>
      </w:r>
      <w:r w:rsidR="00F54FD6" w:rsidRPr="00A01A57">
        <w:rPr>
          <w:rFonts w:ascii="Times New Roman" w:hAnsi="Times New Roman" w:cs="Times New Roman"/>
          <w:b/>
          <w:sz w:val="24"/>
          <w:szCs w:val="24"/>
          <w:lang w:val="uk-UA"/>
        </w:rPr>
        <w:t>-кошторисної</w:t>
      </w:r>
      <w:r w:rsidR="00695BDD"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документації з </w:t>
      </w:r>
      <w:r w:rsidR="008161AA">
        <w:rPr>
          <w:rFonts w:ascii="Times New Roman" w:hAnsi="Times New Roman" w:cs="Times New Roman"/>
          <w:b/>
          <w:sz w:val="24"/>
          <w:szCs w:val="24"/>
          <w:lang w:val="uk-UA"/>
        </w:rPr>
        <w:t>будівництва</w:t>
      </w:r>
      <w:r w:rsidR="00FE7CD7"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61AA">
        <w:rPr>
          <w:rFonts w:ascii="Times New Roman" w:hAnsi="Times New Roman" w:cs="Times New Roman"/>
          <w:b/>
          <w:sz w:val="24"/>
          <w:szCs w:val="24"/>
          <w:lang w:val="uk-UA"/>
        </w:rPr>
        <w:t>логістичного комплексу</w:t>
      </w:r>
      <w:r w:rsidR="00BF6446"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91206" w:rsidRPr="00A01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861">
        <w:rPr>
          <w:rFonts w:ascii="Times New Roman" w:hAnsi="Times New Roman" w:cs="Times New Roman"/>
          <w:b/>
          <w:sz w:val="24"/>
          <w:szCs w:val="24"/>
          <w:lang w:val="uk-UA"/>
        </w:rPr>
        <w:t>адреса:</w:t>
      </w:r>
      <w:r w:rsidR="009C4861" w:rsidRPr="009C48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61AA">
        <w:rPr>
          <w:rFonts w:ascii="Times New Roman" w:hAnsi="Times New Roman" w:cs="Times New Roman"/>
          <w:b/>
          <w:sz w:val="24"/>
          <w:szCs w:val="24"/>
          <w:lang w:val="uk-UA"/>
        </w:rPr>
        <w:t>Київ</w:t>
      </w:r>
      <w:r w:rsidR="00BF6446"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</w:t>
      </w:r>
      <w:r w:rsidR="00695BDD" w:rsidRPr="00A01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61AA">
        <w:rPr>
          <w:rFonts w:ascii="Times New Roman" w:hAnsi="Times New Roman" w:cs="Times New Roman"/>
          <w:b/>
          <w:sz w:val="24"/>
          <w:szCs w:val="24"/>
          <w:lang w:val="uk-UA"/>
        </w:rPr>
        <w:t>Пухівська 2в.</w:t>
      </w:r>
    </w:p>
    <w:p w14:paraId="4033EAF0" w14:textId="77777777" w:rsidR="00695BDD" w:rsidRPr="00A01A57" w:rsidRDefault="00695BDD" w:rsidP="00695BDD">
      <w:pPr>
        <w:pStyle w:val="10"/>
        <w:tabs>
          <w:tab w:val="left" w:pos="567"/>
        </w:tabs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695BDD" w:rsidRPr="00A01A57" w14:paraId="3D93F657" w14:textId="77777777" w:rsidTr="008161AA">
        <w:trPr>
          <w:trHeight w:val="6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D1AE" w14:textId="77777777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 та місцезнаходження об'єкту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78C" w14:textId="5FCC64AD" w:rsidR="008161AA" w:rsidRPr="00A01A57" w:rsidRDefault="00BF6446" w:rsidP="00355EB6">
            <w:pPr>
              <w:pStyle w:val="10"/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  <w:r w:rsidRPr="00A01A57">
              <w:rPr>
                <w:rFonts w:eastAsia="Times New Roman"/>
                <w:sz w:val="24"/>
                <w:szCs w:val="24"/>
              </w:rPr>
              <w:t xml:space="preserve">Склад сухого зберігання із </w:t>
            </w:r>
            <w:r w:rsidR="008161AA">
              <w:rPr>
                <w:rFonts w:eastAsia="Times New Roman"/>
                <w:sz w:val="24"/>
                <w:szCs w:val="24"/>
              </w:rPr>
              <w:t>приміщеннями</w:t>
            </w:r>
            <w:r w:rsidR="00355E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55EB6">
              <w:rPr>
                <w:rFonts w:eastAsia="Times New Roman"/>
                <w:sz w:val="24"/>
                <w:szCs w:val="24"/>
                <w:lang w:val="ru-RU"/>
              </w:rPr>
              <w:t>побутового</w:t>
            </w:r>
            <w:proofErr w:type="spellEnd"/>
            <w:r w:rsidR="00355EB6">
              <w:rPr>
                <w:rFonts w:eastAsia="Times New Roman"/>
                <w:sz w:val="24"/>
                <w:szCs w:val="24"/>
              </w:rPr>
              <w:t xml:space="preserve"> призначення</w:t>
            </w:r>
            <w:r w:rsidR="008161AA">
              <w:rPr>
                <w:rFonts w:eastAsia="Times New Roman"/>
                <w:sz w:val="24"/>
                <w:szCs w:val="24"/>
              </w:rPr>
              <w:t xml:space="preserve"> на мезонінах,</w:t>
            </w:r>
            <w:r w:rsidRPr="00A01A57">
              <w:rPr>
                <w:rFonts w:eastAsia="Times New Roman"/>
                <w:sz w:val="24"/>
                <w:szCs w:val="24"/>
              </w:rPr>
              <w:t xml:space="preserve"> </w:t>
            </w:r>
            <w:r w:rsidR="009C4861">
              <w:rPr>
                <w:rFonts w:eastAsia="Times New Roman"/>
                <w:sz w:val="24"/>
                <w:szCs w:val="24"/>
              </w:rPr>
              <w:t xml:space="preserve">адреса: </w:t>
            </w:r>
            <w:r w:rsidR="008161AA">
              <w:rPr>
                <w:rFonts w:eastAsia="Times New Roman"/>
                <w:sz w:val="24"/>
                <w:szCs w:val="24"/>
              </w:rPr>
              <w:t>Київ вул. Пухівська 2в.</w:t>
            </w:r>
          </w:p>
        </w:tc>
      </w:tr>
      <w:tr w:rsidR="00695BDD" w:rsidRPr="00A01A57" w14:paraId="2AD1C23F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F16" w14:textId="77777777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проектування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3C5" w14:textId="138AFBFB" w:rsidR="00695BDD" w:rsidRPr="00A01A57" w:rsidRDefault="00BF6446" w:rsidP="00690D9E">
            <w:pPr>
              <w:pStyle w:val="10"/>
              <w:tabs>
                <w:tab w:val="left" w:pos="567"/>
              </w:tabs>
              <w:rPr>
                <w:sz w:val="24"/>
                <w:szCs w:val="24"/>
              </w:rPr>
            </w:pPr>
            <w:r w:rsidRPr="00A01A57">
              <w:rPr>
                <w:sz w:val="24"/>
                <w:szCs w:val="24"/>
              </w:rPr>
              <w:t>Технічне завдання на проектування</w:t>
            </w:r>
            <w:r w:rsidR="00690D9E">
              <w:rPr>
                <w:sz w:val="24"/>
                <w:szCs w:val="24"/>
              </w:rPr>
              <w:t>,</w:t>
            </w:r>
            <w:r w:rsidR="00690D9E" w:rsidRPr="00A01A57">
              <w:rPr>
                <w:sz w:val="24"/>
                <w:szCs w:val="24"/>
              </w:rPr>
              <w:t xml:space="preserve"> </w:t>
            </w:r>
            <w:r w:rsidR="00690D9E">
              <w:rPr>
                <w:sz w:val="24"/>
                <w:szCs w:val="24"/>
              </w:rPr>
              <w:t>і</w:t>
            </w:r>
            <w:r w:rsidR="00690D9E" w:rsidRPr="00A01A57">
              <w:rPr>
                <w:sz w:val="24"/>
                <w:szCs w:val="24"/>
              </w:rPr>
              <w:t>нженерно-геологічні вишукування</w:t>
            </w:r>
            <w:r w:rsidR="00690D9E">
              <w:rPr>
                <w:sz w:val="24"/>
                <w:szCs w:val="24"/>
              </w:rPr>
              <w:t xml:space="preserve">, </w:t>
            </w:r>
            <w:r w:rsidR="00690D9E" w:rsidRPr="00A01A57">
              <w:rPr>
                <w:sz w:val="24"/>
                <w:szCs w:val="24"/>
              </w:rPr>
              <w:t>топографо</w:t>
            </w:r>
            <w:r w:rsidR="00690D9E">
              <w:rPr>
                <w:sz w:val="24"/>
                <w:szCs w:val="24"/>
              </w:rPr>
              <w:t>-</w:t>
            </w:r>
            <w:r w:rsidR="00690D9E" w:rsidRPr="00A01A57">
              <w:rPr>
                <w:sz w:val="24"/>
                <w:szCs w:val="24"/>
              </w:rPr>
              <w:t>геодезична зйомка 1:500</w:t>
            </w:r>
          </w:p>
        </w:tc>
      </w:tr>
      <w:tr w:rsidR="00695BDD" w:rsidRPr="00A01A57" w14:paraId="43988BAB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105" w14:textId="77777777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Вид будівництва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740" w14:textId="3F33CE95" w:rsidR="00695BDD" w:rsidRPr="00A01A57" w:rsidRDefault="00355EB6" w:rsidP="00355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Капітальне б</w:t>
            </w:r>
            <w:r w:rsidR="0081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удівництво</w:t>
            </w:r>
          </w:p>
        </w:tc>
      </w:tr>
      <w:tr w:rsidR="00695BDD" w:rsidRPr="00A01A57" w14:paraId="35E5C497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E0E" w14:textId="77777777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Замовник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E3F" w14:textId="40912B01" w:rsidR="00695BDD" w:rsidRPr="002D36B4" w:rsidRDefault="00690D9E" w:rsidP="00CB16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стейт</w:t>
            </w:r>
            <w:proofErr w:type="spellEnd"/>
          </w:p>
        </w:tc>
      </w:tr>
      <w:tr w:rsidR="00695BDD" w:rsidRPr="00A01A57" w14:paraId="2FB00A39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51F" w14:textId="77777777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Генпроектувальник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E4D" w14:textId="3A82CCE1" w:rsidR="00695BDD" w:rsidRPr="00A01A57" w:rsidRDefault="00695BDD" w:rsidP="00CB1654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Визначається відповідно до </w:t>
            </w:r>
            <w:r w:rsidR="00BF644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 тендера</w:t>
            </w:r>
          </w:p>
        </w:tc>
      </w:tr>
      <w:tr w:rsidR="00695BDD" w:rsidRPr="00A01A57" w14:paraId="032C19D6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F66" w14:textId="3E450B78" w:rsidR="00695BDD" w:rsidRPr="00A01A57" w:rsidRDefault="00695BDD" w:rsidP="00C366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355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Стадійність проектування, з визначенням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затверджуваної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стадії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FE8" w14:textId="77777777" w:rsidR="00695BDD" w:rsidRDefault="008161AA" w:rsidP="00CB16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71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Ескізний проект</w:t>
            </w:r>
          </w:p>
          <w:p w14:paraId="41EFBF20" w14:textId="77777777" w:rsidR="0017184F" w:rsidRDefault="0017184F" w:rsidP="00CB16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Проект</w:t>
            </w:r>
          </w:p>
          <w:p w14:paraId="11123947" w14:textId="23EF831F" w:rsidR="0017184F" w:rsidRPr="00A01A57" w:rsidRDefault="0017184F" w:rsidP="00171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Робоча документація</w:t>
            </w:r>
          </w:p>
        </w:tc>
      </w:tr>
      <w:tr w:rsidR="00695BDD" w:rsidRPr="00A01A57" w14:paraId="6FB8D377" w14:textId="77777777" w:rsidTr="004448C1">
        <w:trPr>
          <w:trHeight w:val="5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993" w14:textId="208622BA" w:rsidR="00695BDD" w:rsidRPr="00A01A57" w:rsidRDefault="00695BDD" w:rsidP="00CE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01A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архітектурно - планувальні вимоги та характеристики об’єкту проектування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B8F" w14:textId="6465D058" w:rsidR="00695BDD" w:rsidRPr="00A01A57" w:rsidRDefault="00E707EE" w:rsidP="00C3668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завдання Замовника </w:t>
            </w:r>
            <w:r w:rsidR="0058243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передбачається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B5E2104" w14:textId="58FB1380" w:rsidR="00695BDD" w:rsidRPr="00A01A57" w:rsidRDefault="003B4D21" w:rsidP="006C2993">
            <w:pPr>
              <w:numPr>
                <w:ilvl w:val="0"/>
                <w:numId w:val="10"/>
              </w:numPr>
              <w:spacing w:after="0" w:line="240" w:lineRule="auto"/>
              <w:ind w:left="172"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апроектувати </w:t>
            </w:r>
            <w:r w:rsidR="00E707EE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нову будівлю складського комплексу приймаючи оптимальні технічні рішення та склад матеріалів</w:t>
            </w:r>
            <w:r w:rsidR="008F562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C5AE35F" w14:textId="6C9D6CE6" w:rsidR="00E707EE" w:rsidRPr="00A01A57" w:rsidRDefault="00582436" w:rsidP="00812D8D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Архітектурні деталі (ТЕП)</w:t>
            </w:r>
            <w:r w:rsidR="00E707EE" w:rsidRPr="00A01A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14:paraId="5CA1E317" w14:textId="7914C97F" w:rsidR="00CF580A" w:rsidRPr="00A01A57" w:rsidRDefault="00582436" w:rsidP="00C36684">
            <w:pPr>
              <w:numPr>
                <w:ilvl w:val="0"/>
                <w:numId w:val="10"/>
              </w:numPr>
              <w:spacing w:after="0" w:line="240" w:lineRule="auto"/>
              <w:ind w:left="30"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</w:t>
            </w:r>
            <w:r w:rsidR="00690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площа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8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="00812D8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удови</w:t>
            </w:r>
            <w:r w:rsidR="0081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максимально можлива на відведеній ділянці</w:t>
            </w:r>
            <w:r w:rsidR="00C84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під’їзних шляхів</w:t>
            </w:r>
            <w:r w:rsidR="0081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88780ED" w14:textId="0A3B1A1B" w:rsidR="008161AA" w:rsidRPr="00A01A57" w:rsidRDefault="008161AA" w:rsidP="008161AA">
            <w:pPr>
              <w:numPr>
                <w:ilvl w:val="0"/>
                <w:numId w:val="10"/>
              </w:numPr>
              <w:spacing w:after="0" w:line="240" w:lineRule="auto"/>
              <w:ind w:left="30"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Чиста висота складу  12 м.</w:t>
            </w:r>
          </w:p>
          <w:p w14:paraId="5CD49271" w14:textId="54555C13" w:rsidR="00812D8D" w:rsidRPr="00A01A57" w:rsidRDefault="00812D8D" w:rsidP="00812D8D">
            <w:pPr>
              <w:numPr>
                <w:ilvl w:val="0"/>
                <w:numId w:val="10"/>
              </w:numPr>
              <w:spacing w:after="0" w:line="240" w:lineRule="auto"/>
              <w:ind w:left="30"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Шаг колон - оптимальний</w:t>
            </w:r>
          </w:p>
          <w:p w14:paraId="35200697" w14:textId="69BA1AEB" w:rsidR="00B641D9" w:rsidRPr="00A01A57" w:rsidRDefault="008F5626" w:rsidP="00B6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Виконати ворота</w:t>
            </w:r>
            <w:r w:rsidR="00B641D9" w:rsidRPr="00A01A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14:paraId="50BD68ED" w14:textId="6ED245CB" w:rsidR="008F5626" w:rsidRPr="00A01A57" w:rsidRDefault="00B641D9" w:rsidP="00B6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</w:t>
            </w:r>
            <w:r w:rsidR="008F562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розвантаження та завантаження автомобілів із використанням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вирівнюючих платформ, герметизаторів та</w:t>
            </w:r>
            <w:r w:rsidR="008F562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секційних воріт. Кількість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доків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171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оптимальна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5A88423" w14:textId="41C53158" w:rsidR="00B641D9" w:rsidRPr="00A01A57" w:rsidRDefault="00B641D9" w:rsidP="00B6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Виробник обладнання має бути оптимальних  з погляду ціни та якості.</w:t>
            </w:r>
          </w:p>
          <w:p w14:paraId="462DFF16" w14:textId="13CC75E8" w:rsidR="00B641D9" w:rsidRPr="00A01A57" w:rsidRDefault="00B641D9" w:rsidP="00B6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Додатково передбачити стандартні в</w:t>
            </w:r>
            <w:r w:rsidRPr="00A01A5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їздні ворота на відмітці 0,000</w:t>
            </w:r>
            <w:r w:rsidR="003B4D2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25EFA35" w14:textId="3FA14613" w:rsidR="00CF580A" w:rsidRPr="00CE6C05" w:rsidRDefault="00CF580A" w:rsidP="00CE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Додатково передбачити улаштування мезоніну, </w:t>
            </w:r>
            <w:r w:rsidR="00AE666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доками</w:t>
            </w:r>
            <w:r w:rsidR="00171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зоною експедиції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F562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1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оптимальної глибини</w:t>
            </w:r>
            <w:r w:rsidR="008F562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урахуванням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перекриттям мезоніну не менше 4</w:t>
            </w:r>
            <w:r w:rsidR="00690D9E" w:rsidRP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00мм,</w:t>
            </w:r>
          </w:p>
          <w:p w14:paraId="3133314E" w14:textId="46E03379" w:rsidR="008F5626" w:rsidRPr="00A01A57" w:rsidRDefault="00582436" w:rsidP="0058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Конструктивні особливості:  </w:t>
            </w:r>
          </w:p>
          <w:p w14:paraId="056591C7" w14:textId="47E60FC1" w:rsidR="00582436" w:rsidRPr="00A01A57" w:rsidRDefault="0017184F" w:rsidP="00812D8D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рішення</w:t>
            </w:r>
            <w:r w:rsidR="00812D8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щодо конструктивної схеми обрати з погляду оптимального співвідношення якості та вартості.</w:t>
            </w:r>
          </w:p>
          <w:p w14:paraId="18017085" w14:textId="639CEBD2" w:rsidR="00812D8D" w:rsidRPr="00A01A57" w:rsidRDefault="00812D8D" w:rsidP="00812D8D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Фасадні конструкції прийняти із урахуванням вимог по теплопровідності та термоізоляції, що діють на території України.</w:t>
            </w:r>
          </w:p>
          <w:p w14:paraId="160FCBE2" w14:textId="03019CEF" w:rsidR="00812D8D" w:rsidRPr="00A01A57" w:rsidRDefault="00812D8D" w:rsidP="00812D8D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Навантаження на підлоги прийняти не менше </w:t>
            </w:r>
            <w:r w:rsidR="00AE666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171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000 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/м2.</w:t>
            </w:r>
          </w:p>
          <w:p w14:paraId="6315CBBF" w14:textId="24E86AA6" w:rsidR="00F52939" w:rsidRPr="00A01A57" w:rsidRDefault="00F52939" w:rsidP="00812D8D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Покрівлю виконати із утепленням та улаштуванням гідроізоляційного захисту.</w:t>
            </w:r>
          </w:p>
          <w:p w14:paraId="4FBB43ED" w14:textId="77777777" w:rsidR="00C36684" w:rsidRPr="00A01A57" w:rsidRDefault="00C36684" w:rsidP="00C36684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65DB78A" w14:textId="77777777" w:rsidR="00C36684" w:rsidRPr="00A01A57" w:rsidRDefault="00C36684" w:rsidP="00C36684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823C7E7" w14:textId="7B212295" w:rsidR="00695BDD" w:rsidRPr="00A01A57" w:rsidRDefault="00695BDD" w:rsidP="00A14BD1">
            <w:pPr>
              <w:snapToGrid w:val="0"/>
              <w:spacing w:after="120"/>
              <w:ind w:left="67" w:firstLine="1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Безперешкодний доступ осіб з інвалідністю до об’єкту не передбачається.</w:t>
            </w:r>
          </w:p>
        </w:tc>
      </w:tr>
      <w:tr w:rsidR="00695BDD" w:rsidRPr="00A01A57" w14:paraId="5A53567A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150" w14:textId="41C16F29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CE6C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A01A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Черговість будівництва, необхідність виділення пускових комплексів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EE4" w14:textId="734F2057" w:rsidR="00695BDD" w:rsidRPr="00A01A57" w:rsidRDefault="00695BDD" w:rsidP="004A014D">
            <w:pPr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та будівництво здійснюється  в 1 чергу</w:t>
            </w:r>
          </w:p>
        </w:tc>
      </w:tr>
      <w:tr w:rsidR="00695BDD" w:rsidRPr="00A01A57" w14:paraId="263FEA15" w14:textId="77777777" w:rsidTr="004448C1">
        <w:trPr>
          <w:trHeight w:val="1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242" w14:textId="01042897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Визначення класу (наслідків) відповідальності та установленого строку експлуатації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2F2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Розраховує «Генпроектувальник» та погоджує «Замовник» </w:t>
            </w:r>
          </w:p>
          <w:p w14:paraId="3799E701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95BDD" w:rsidRPr="00A01A57" w14:paraId="007266E3" w14:textId="77777777" w:rsidTr="00C84E65">
        <w:trPr>
          <w:trHeight w:val="17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EFA" w14:textId="68D3F5D6" w:rsidR="00695BDD" w:rsidRPr="00A01A57" w:rsidRDefault="00695BDD" w:rsidP="00CE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Вказівки про необхідність попередніх погоджень проектних рішень з зацікавленими відомствами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5B4" w14:textId="66D5BCA8" w:rsidR="00695BDD" w:rsidRPr="00A01A57" w:rsidRDefault="006E6C2A" w:rsidP="006C2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формлення  проектної документації згідно діючого законодавства та ДБН для проходження  будівельної експертизи проекту.</w:t>
            </w:r>
          </w:p>
          <w:p w14:paraId="483A7F17" w14:textId="720AB709" w:rsidR="00F52939" w:rsidRPr="00A01A57" w:rsidRDefault="00F52939" w:rsidP="00E74981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 передбачити:</w:t>
            </w:r>
          </w:p>
          <w:p w14:paraId="593DD82B" w14:textId="595095B0" w:rsidR="00F52939" w:rsidRPr="00A01A57" w:rsidRDefault="00F52939" w:rsidP="00F52939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витрати на отримання містобудівних умов та обмежень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5DC59A" w14:textId="3AF56DB8" w:rsidR="00695BDD" w:rsidRPr="00A01A57" w:rsidRDefault="00F52939" w:rsidP="0017184F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експертизу  проекту, відповідно до класу наслідків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5BDD" w:rsidRPr="00A01A57" w14:paraId="14EC0193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1AE" w14:textId="401F1297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 до  благоустрою території  та  озеленення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61E" w14:textId="33B52676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r w:rsidR="00C84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онати відновлення благоустрою (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необхідністю</w:t>
            </w:r>
            <w:r w:rsidR="00F52939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включаючи горизонтальне планування та демонтаж існуючих споруд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5BDD" w:rsidRPr="00A01A57" w14:paraId="4F34B2FA" w14:textId="77777777" w:rsidTr="004E1117">
        <w:trPr>
          <w:trHeight w:val="7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27A" w14:textId="6E83189D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до інженерного захисту території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681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потрібно</w:t>
            </w:r>
          </w:p>
          <w:p w14:paraId="22F940B9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695BDD" w:rsidRPr="00A01A57" w14:paraId="2664A40D" w14:textId="77777777" w:rsidTr="00C36684">
        <w:trPr>
          <w:trHeight w:val="7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C62" w14:textId="57CEBE0F" w:rsidR="00695BDD" w:rsidRPr="00A01A57" w:rsidRDefault="006E6C2A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до енергозбереження та енергоефективності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417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розрахунків та ДБН  В.2.6-31 2016 "Теплова ізоляція будівель" </w:t>
            </w:r>
          </w:p>
        </w:tc>
      </w:tr>
      <w:tr w:rsidR="00695BDD" w:rsidRPr="00A01A57" w14:paraId="44C12127" w14:textId="77777777" w:rsidTr="004448C1">
        <w:trPr>
          <w:trHeight w:val="8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D90" w14:textId="0627A5ED" w:rsidR="00695BDD" w:rsidRPr="00A01A57" w:rsidRDefault="006E6C2A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Дані про технології і (або) науково-дослідні роботи, які пропонує застосувати замовник.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61F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проектом</w:t>
            </w:r>
          </w:p>
        </w:tc>
      </w:tr>
      <w:tr w:rsidR="00695BDD" w:rsidRPr="00A01A57" w14:paraId="6BECE179" w14:textId="77777777" w:rsidTr="004448C1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05B" w14:textId="1978A36C" w:rsidR="00695BDD" w:rsidRPr="00A01A57" w:rsidRDefault="00CE6C05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до режиму безпеки та охорони праці.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F12" w14:textId="77777777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проектом</w:t>
            </w:r>
          </w:p>
        </w:tc>
      </w:tr>
      <w:tr w:rsidR="00695BDD" w:rsidRPr="00A01A57" w14:paraId="555DF5DF" w14:textId="77777777" w:rsidTr="004448C1">
        <w:trPr>
          <w:trHeight w:val="1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A49" w14:textId="09C6463F" w:rsidR="00695BDD" w:rsidRPr="00A01A57" w:rsidRDefault="00CE6C05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95BD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щодо розроблення розділу інженерно-технічних заходів цивільного захисту (цивільної оборони)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220" w14:textId="3FE39095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відповідності до ДБН, ДСТУ та інших нормативних документів.</w:t>
            </w:r>
          </w:p>
          <w:p w14:paraId="05A2E5FE" w14:textId="7F9F9A2A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DD" w:rsidRPr="008161AA" w14:paraId="7AEEFDFB" w14:textId="77777777" w:rsidTr="004448C1">
        <w:trPr>
          <w:trHeight w:val="1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97C" w14:textId="0337D2B4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до систем протипожежного захисту об'єкта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F82" w14:textId="2FDAD150" w:rsidR="00695BDD" w:rsidRPr="00A01A57" w:rsidRDefault="00695BDD" w:rsidP="004A01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відповідності до ДБН</w:t>
            </w:r>
            <w:r w:rsidR="00EE1233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.В.2.5-56:2014</w:t>
            </w:r>
            <w:r w:rsidR="00E21AB2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ППБУ,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057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EN 12845:2016</w:t>
            </w:r>
            <w:r w:rsidR="007911FF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3668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інших </w:t>
            </w:r>
            <w:r w:rsidR="007911FF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діючих </w:t>
            </w:r>
            <w:r w:rsidR="00C3668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нормативних документів</w:t>
            </w:r>
            <w:r w:rsidR="007911FF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розробити проектну документацію </w:t>
            </w:r>
            <w:r w:rsidR="0075091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дві стадії «П» та «РД»</w:t>
            </w:r>
            <w:r w:rsidR="007C00B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системи протипожежного захисту:</w:t>
            </w:r>
          </w:p>
          <w:p w14:paraId="6B80C7CA" w14:textId="47914686" w:rsidR="00A14BD1" w:rsidRPr="00A01A57" w:rsidRDefault="00ED1E74" w:rsidP="004A01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Автоматична адресна пожежна сигналізація:</w:t>
            </w:r>
            <w:r w:rsidR="00D70C4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прорахувати</w:t>
            </w:r>
            <w:r w:rsidR="00771C8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варіант на димових пожежних сповіщувачах та варіант виконання </w:t>
            </w:r>
            <w:r w:rsidR="0033295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аспіраційної системи. </w:t>
            </w:r>
            <w:r w:rsidR="00D8556C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70C4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апропонувати </w:t>
            </w:r>
            <w:r w:rsidR="00692DBC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 оптимальний варіант. 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Додатково передбачити проектування нової системи пожежної сигналізації. Проектування виконати із використанням обладнання вітчизняного виробництва, та відповідно до </w:t>
            </w:r>
            <w:r w:rsidR="002A61B9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ДБН.В.2.5-56:2014</w:t>
            </w:r>
            <w:r w:rsidR="00512C4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82A9A3" w14:textId="57E9C342" w:rsidR="00A1697F" w:rsidRPr="00A01A57" w:rsidRDefault="00A1697F" w:rsidP="004A01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оповіщення про пожежу з</w:t>
            </w:r>
            <w:r w:rsidR="00FD5C5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вукова.</w:t>
            </w:r>
          </w:p>
          <w:p w14:paraId="22D55674" w14:textId="77777777" w:rsidR="00660D28" w:rsidRDefault="00FD5C56" w:rsidP="004A01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протидимного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</w:t>
            </w:r>
            <w:r w:rsid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F5499B3" w14:textId="2BA2BC36" w:rsidR="00D758BF" w:rsidRDefault="0034113E" w:rsidP="00660D28">
            <w:pPr>
              <w:pStyle w:val="a7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525316" w:rsidRP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зенітними ліхтарями </w:t>
            </w:r>
            <w:r w:rsidR="00275579" w:rsidRP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електричними приводами </w:t>
            </w:r>
            <w:r w:rsidR="00DC2662" w:rsidRP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люків</w:t>
            </w:r>
            <w:r w:rsidR="0066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1B2A34" w14:textId="250E31BA" w:rsidR="00660D28" w:rsidRDefault="00660D28" w:rsidP="00660D28">
            <w:pPr>
              <w:pStyle w:val="a7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Вентилятор</w:t>
            </w:r>
          </w:p>
          <w:p w14:paraId="2C966225" w14:textId="6DAB75D5" w:rsidR="00660D28" w:rsidRPr="00660D28" w:rsidRDefault="00660D28" w:rsidP="00660D28">
            <w:pPr>
              <w:pStyle w:val="a7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часу евакуації</w:t>
            </w:r>
          </w:p>
          <w:p w14:paraId="53F1B664" w14:textId="22F07961" w:rsidR="00512C48" w:rsidRPr="00A01A57" w:rsidRDefault="00D758BF" w:rsidP="004A01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  <w:r w:rsidR="00FC308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32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автоматичного вод</w:t>
            </w:r>
            <w:r w:rsidR="00E428C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яного спринклерного пожежогасіння об’єднану з внутрішнім пожежним водопров</w:t>
            </w:r>
            <w:r w:rsidR="00A61C3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428C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дом. </w:t>
            </w:r>
            <w:r w:rsidR="00DC2662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F8F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проектуванні урахувати висоту </w:t>
            </w:r>
            <w:r w:rsidR="00E55764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стелажного </w:t>
            </w:r>
            <w:r w:rsidR="00A85A4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зберігання до 12 м</w:t>
            </w:r>
            <w:r w:rsidR="00C7218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вимоги ДСТУ EN 12845:2016</w:t>
            </w:r>
            <w:r w:rsidR="00135CA3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695BDD" w:rsidRPr="00A01A57" w14:paraId="7421FC0B" w14:textId="77777777" w:rsidTr="004448C1">
        <w:trPr>
          <w:trHeight w:val="1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209" w14:textId="47033410" w:rsidR="00695BDD" w:rsidRPr="00A01A57" w:rsidRDefault="00695BDD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Принципові  вимоги  до основних конструктивних  рішень, матеріалів, несучих  та огороджувальних  конструкцій, фасадів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1C3" w14:textId="10B81942" w:rsidR="00695BDD" w:rsidRPr="00A01A57" w:rsidRDefault="00695BDD" w:rsidP="004A014D">
            <w:pPr>
              <w:spacing w:after="120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проектом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загального ТЗ</w:t>
            </w:r>
          </w:p>
        </w:tc>
      </w:tr>
      <w:tr w:rsidR="00A14BD1" w:rsidRPr="00A01A57" w14:paraId="061027B8" w14:textId="77777777" w:rsidTr="00E7498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323" w14:textId="201696A4" w:rsidR="00A14BD1" w:rsidRPr="00A01A57" w:rsidRDefault="00A14BD1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Необхідність  проектування зовнішніх інженерних  мереж, в т.ч. винесення з-під плями забудови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B21" w14:textId="1C156EF8" w:rsidR="00A14BD1" w:rsidRPr="00A01A57" w:rsidRDefault="00A14BD1" w:rsidP="00A14B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проектом, згідно загального ТЗ.</w:t>
            </w:r>
          </w:p>
          <w:p w14:paraId="6DEB663E" w14:textId="6D5A4E01" w:rsidR="00A14BD1" w:rsidRPr="00A01A57" w:rsidRDefault="00A14BD1" w:rsidP="00A14B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 перевірити:</w:t>
            </w:r>
          </w:p>
          <w:p w14:paraId="3C6F6E41" w14:textId="50DF8E5E" w:rsidR="00A14BD1" w:rsidRPr="00A01A57" w:rsidRDefault="00A14BD1" w:rsidP="00A14BD1">
            <w:pPr>
              <w:pStyle w:val="a7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Достатність електричної потужності згідно ТУ та стану ТП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5D2312A" w14:textId="2BD873DB" w:rsidR="00512C48" w:rsidRPr="00A01A57" w:rsidRDefault="00512C48" w:rsidP="00512C48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71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проект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</w:t>
            </w:r>
            <w:r w:rsidR="00A71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внішнього пожежного водопроводу,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наносної станції та пожежних резервуарів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03C7AE" w14:textId="726DC6A9" w:rsidR="00A14BD1" w:rsidRPr="00A01A57" w:rsidRDefault="00512C48" w:rsidP="00A71E0E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="00A71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зовнішньої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ливневої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каналізації</w:t>
            </w:r>
            <w:r w:rsidR="006E6C2A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14BD1" w:rsidRPr="00660D28" w14:paraId="0AB7883D" w14:textId="77777777" w:rsidTr="004448C1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5DF" w14:textId="4B523C97" w:rsidR="00A14BD1" w:rsidRPr="00A01A57" w:rsidRDefault="00A14BD1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Необхідність  проектування внутрішнього інженерного і технологічного інженерного забезпечення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B70" w14:textId="6CBF0E92" w:rsidR="00A14BD1" w:rsidRPr="00A01A57" w:rsidRDefault="00512C48" w:rsidP="00F54FD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завдання, виконати щодо будівл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реконструюється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08AF7A0" w14:textId="6B7C55FB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внутрішнього електропостачання будівлі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CF005B" w14:textId="1BFB6AC2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внутрішнього освітлення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5BC2EE" w14:textId="173B4F99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ОВіК, в частині опалення та кондиціонування в складській частині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B3DAEA" w14:textId="13FD1D0A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</w:t>
            </w:r>
            <w:r w:rsidR="00F54FD6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ОВіК, в частині опалення та кондиціонування в офісній частині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побутових приміщеннях;</w:t>
            </w:r>
          </w:p>
          <w:p w14:paraId="134E37C9" w14:textId="704FBC1B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водозабезпечення та каналізації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8E16608" w14:textId="789EEDDF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слаботочні мережі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CD45712" w14:textId="4733EB02" w:rsidR="00512C48" w:rsidRPr="00A01A57" w:rsidRDefault="00512C48" w:rsidP="00F54FD6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безпека та відеоспостереження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AC15A2" w14:textId="5251A308" w:rsidR="00F54FD6" w:rsidRPr="00A71E0E" w:rsidRDefault="00F54FD6" w:rsidP="00A71E0E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по зовнішнім мережам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881E312" w14:textId="6C656737" w:rsidR="00F54FD6" w:rsidRPr="00A01A57" w:rsidRDefault="00F54FD6" w:rsidP="006C2993">
            <w:pPr>
              <w:pStyle w:val="a7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розділи, згідно ДБН А.2.2-3-2014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086FD9" w14:textId="77777777" w:rsidR="00A14BD1" w:rsidRPr="00A01A57" w:rsidRDefault="00A14BD1" w:rsidP="006C2993">
            <w:pPr>
              <w:pStyle w:val="a7"/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4BD1" w:rsidRPr="00A01A57" w14:paraId="76ADCC5E" w14:textId="77777777" w:rsidTr="004448C1">
        <w:trPr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511" w14:textId="599685BD" w:rsidR="00A14BD1" w:rsidRPr="00A01A57" w:rsidRDefault="00253E28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 до  розробки  розділу «Оцінка  впливу  на  навколишнє середовище»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A21" w14:textId="77777777" w:rsidR="00A14BD1" w:rsidRPr="00A01A57" w:rsidRDefault="00A14BD1" w:rsidP="00A14B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державних будівельних норм та вимог відповідних установ.</w:t>
            </w:r>
          </w:p>
        </w:tc>
      </w:tr>
      <w:tr w:rsidR="00A14BD1" w:rsidRPr="00A01A57" w14:paraId="09290957" w14:textId="77777777" w:rsidTr="004448C1">
        <w:trPr>
          <w:trHeight w:val="5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D46" w14:textId="4AEAA76B" w:rsidR="00A14BD1" w:rsidRPr="00A01A57" w:rsidRDefault="00253E28" w:rsidP="00CE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Вимоги до кошторисної документації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554" w14:textId="3B1EC8EF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розробці </w:t>
            </w:r>
            <w:r w:rsidR="00253E2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кошторисної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 гранична вартість матеріалів приймається за даними Протоколу погодження вартості матеріальних ресурсів між Проектувальником та Замовником.</w:t>
            </w:r>
          </w:p>
          <w:p w14:paraId="12C9AB9F" w14:textId="029ED90B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 розрахунках транспортних витрат на постачання матеріалів або вивіз сміття враховувати середню відстань, на яку здійснюється постачання, в межах 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0км.</w:t>
            </w:r>
          </w:p>
          <w:p w14:paraId="1FD81759" w14:textId="1F9BA005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«Порядку розрахунку розміру кошторисної заробітної плати, який враховується при  визначенні вартості будівництва об’єктів» розмір середньомісячної заробітної плати, який застосовується Замовником для зазначених робіт,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саме 11 497</w:t>
            </w:r>
            <w:r w:rsidR="005C679D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для середнього розряду робіт 3.8.</w:t>
            </w:r>
          </w:p>
          <w:p w14:paraId="40046628" w14:textId="48512BE9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ліміту витрат на утримання служби Замовника</w:t>
            </w:r>
            <w:r w:rsidR="00253E2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т.ч. технічний нагляд</w:t>
            </w:r>
            <w:r w:rsidR="00253E28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прийняти в розмірі 2,5%;</w:t>
            </w:r>
          </w:p>
          <w:p w14:paraId="03CFE88C" w14:textId="77777777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витрат на здійснення авторського нагляду прийняти у відповідності з календарним графіком виконання робіт, розробленого проектувальником в розділі «Проект організації будівництва».</w:t>
            </w:r>
          </w:p>
          <w:p w14:paraId="5A18F86F" w14:textId="77777777" w:rsidR="00A14BD1" w:rsidRPr="00A01A57" w:rsidRDefault="00A14BD1" w:rsidP="00A1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витрат на експертизу проектно-кошторисної документації за рахунками експертної(их) організації(й);</w:t>
            </w:r>
          </w:p>
          <w:p w14:paraId="3B8272F6" w14:textId="77777777" w:rsidR="000E1CE3" w:rsidRPr="00A01A57" w:rsidRDefault="00A14BD1" w:rsidP="00A14B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Включити в кошторис</w:t>
            </w:r>
            <w:r w:rsidR="000E1CE3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AFF8F4C" w14:textId="378904E0" w:rsidR="00A14BD1" w:rsidRPr="00A01A57" w:rsidRDefault="00A14BD1" w:rsidP="00A14B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«Кошти на покриття ризику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всiх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«Кошти на покриття додаткових витрат, пов'язаних з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інфляційними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процесами».</w:t>
            </w:r>
          </w:p>
        </w:tc>
      </w:tr>
      <w:tr w:rsidR="00A14BD1" w:rsidRPr="00A01A57" w14:paraId="4B027C00" w14:textId="77777777" w:rsidTr="00E74981">
        <w:trPr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0F6" w14:textId="667553E4" w:rsidR="00A14BD1" w:rsidRPr="00A01A57" w:rsidRDefault="008B1949" w:rsidP="00CE6C0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.Зміст робочого проекту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33D" w14:textId="77777777" w:rsidR="00A14BD1" w:rsidRPr="00A01A57" w:rsidRDefault="00A14BD1" w:rsidP="00A14BD1">
            <w:pPr>
              <w:pStyle w:val="2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01A57">
              <w:rPr>
                <w:b w:val="0"/>
                <w:bCs w:val="0"/>
                <w:sz w:val="24"/>
                <w:szCs w:val="24"/>
                <w:lang w:val="uk-UA"/>
              </w:rPr>
              <w:t>Виконати згідно з ДБН А.2.2-3-2014 «Склад та зміст проектної документації на будівництво».</w:t>
            </w:r>
          </w:p>
        </w:tc>
      </w:tr>
      <w:tr w:rsidR="00A14BD1" w:rsidRPr="00A01A57" w14:paraId="3C3236A2" w14:textId="77777777" w:rsidTr="004448C1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B1F" w14:textId="7679AB49" w:rsidR="00A14BD1" w:rsidRPr="00A01A57" w:rsidRDefault="008B1949" w:rsidP="00CE6C0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6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Вказівки щодо кількості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примірників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проектно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Times New Roman" w:char="0457"/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  <w:r w:rsidR="00A14BD1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Times New Roman" w:char="0457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2B4" w14:textId="45E16FBD" w:rsidR="00F54FD6" w:rsidRPr="00A01A57" w:rsidRDefault="00A14BD1" w:rsidP="00A14B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Проектну документацію скласти в 4-х примірниках у зброшурованому вигляді та в електронному вигляді на </w:t>
            </w:r>
            <w:r w:rsidR="00414597"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 носії</w:t>
            </w:r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форматі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dwg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Pr="00A0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8BD960D" w14:textId="27899653" w:rsidR="00A14BD1" w:rsidRPr="00A01A57" w:rsidRDefault="00A14BD1" w:rsidP="00A14B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Оригінал позитивного експертного звіту</w:t>
            </w:r>
          </w:p>
        </w:tc>
      </w:tr>
      <w:tr w:rsidR="00537875" w:rsidRPr="00A01A57" w14:paraId="5E112952" w14:textId="77777777" w:rsidTr="004448C1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8F4" w14:textId="451CF8AE" w:rsidR="00537875" w:rsidRPr="00A01A57" w:rsidRDefault="00CE6C05" w:rsidP="00371D5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F61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1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оплати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315" w14:textId="5959E9FB" w:rsidR="00537875" w:rsidRPr="00A01A57" w:rsidRDefault="00F617EA" w:rsidP="007D71C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Перевага надається постачальнику, який зможе викон</w:t>
            </w:r>
            <w:r w:rsidR="00474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даний проект без передплати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</w:t>
            </w:r>
            <w:r w:rsidR="00371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умови відстрочки платежу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D7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40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D7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40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ендарних днів з дати підписання акту виконаних робіт</w:t>
            </w:r>
          </w:p>
        </w:tc>
      </w:tr>
      <w:tr w:rsidR="004744E7" w:rsidRPr="00A01A57" w14:paraId="536DFF3A" w14:textId="77777777" w:rsidTr="004448C1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482" w14:textId="1B120821" w:rsidR="004744E7" w:rsidRPr="004744E7" w:rsidRDefault="00CE6C05" w:rsidP="008B194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74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74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постачальника</w:t>
            </w:r>
            <w:r w:rsidR="007D7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5D0" w14:textId="77777777" w:rsidR="004744E7" w:rsidRDefault="004744E7" w:rsidP="00371D5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Перевага надається постачальнику який:</w:t>
            </w:r>
          </w:p>
          <w:p w14:paraId="3EBC46D6" w14:textId="7CD23C20" w:rsidR="004744E7" w:rsidRDefault="004744E7" w:rsidP="004744E7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реалізовані проекти відповідної складності</w:t>
            </w:r>
            <w:r w:rsidR="007D7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54A0D680" w14:textId="740CAAA1" w:rsidR="007D71C0" w:rsidRDefault="007D71C0" w:rsidP="004744E7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Організує референт-візит до складу побудованому за виконаним проектом</w:t>
            </w:r>
            <w:r w:rsidR="00355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C93918" w14:textId="24FAE025" w:rsidR="004744E7" w:rsidRDefault="007D71C0" w:rsidP="004744E7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Запропонує найнижчу ціну</w:t>
            </w:r>
            <w:r w:rsidR="00355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CDC1DBE" w14:textId="4775B672" w:rsidR="007D71C0" w:rsidRPr="004744E7" w:rsidRDefault="007D71C0" w:rsidP="007D71C0">
            <w:pPr>
              <w:pStyle w:val="a7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Запропонує найбільш оптимальний термін виконання робі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355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</w:tbl>
    <w:p w14:paraId="1FD5D28F" w14:textId="4CF491A0" w:rsidR="00537875" w:rsidRDefault="00537875" w:rsidP="006C2993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uk-UA" w:eastAsia="ru-RU"/>
        </w:rPr>
      </w:pPr>
    </w:p>
    <w:sectPr w:rsidR="00537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5B"/>
    <w:multiLevelType w:val="hybridMultilevel"/>
    <w:tmpl w:val="0DBA143C"/>
    <w:lvl w:ilvl="0" w:tplc="85128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7A0"/>
    <w:multiLevelType w:val="hybridMultilevel"/>
    <w:tmpl w:val="A44A41DA"/>
    <w:lvl w:ilvl="0" w:tplc="D1DECB58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ACC61A6"/>
    <w:multiLevelType w:val="hybridMultilevel"/>
    <w:tmpl w:val="6B34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1FA"/>
    <w:multiLevelType w:val="hybridMultilevel"/>
    <w:tmpl w:val="A0321D66"/>
    <w:lvl w:ilvl="0" w:tplc="F7B6B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CA7"/>
    <w:multiLevelType w:val="hybridMultilevel"/>
    <w:tmpl w:val="DA6C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E0E"/>
    <w:multiLevelType w:val="hybridMultilevel"/>
    <w:tmpl w:val="6A0E0A8C"/>
    <w:lvl w:ilvl="0" w:tplc="AF4CAD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1572"/>
    <w:multiLevelType w:val="multilevel"/>
    <w:tmpl w:val="5494498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1BCC1D96"/>
    <w:multiLevelType w:val="multilevel"/>
    <w:tmpl w:val="7158DA4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B0114B"/>
    <w:multiLevelType w:val="hybridMultilevel"/>
    <w:tmpl w:val="26EEF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73851"/>
    <w:multiLevelType w:val="hybridMultilevel"/>
    <w:tmpl w:val="182494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D6E"/>
    <w:multiLevelType w:val="multilevel"/>
    <w:tmpl w:val="D4F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F2648"/>
    <w:multiLevelType w:val="hybridMultilevel"/>
    <w:tmpl w:val="BE7C33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5129"/>
    <w:multiLevelType w:val="hybridMultilevel"/>
    <w:tmpl w:val="9FB8FA0C"/>
    <w:lvl w:ilvl="0" w:tplc="DF92A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B94"/>
    <w:multiLevelType w:val="multilevel"/>
    <w:tmpl w:val="22903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F74F3B"/>
    <w:multiLevelType w:val="hybridMultilevel"/>
    <w:tmpl w:val="2D9AB220"/>
    <w:lvl w:ilvl="0" w:tplc="047EC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4A"/>
    <w:rsid w:val="0000107A"/>
    <w:rsid w:val="000070FC"/>
    <w:rsid w:val="0002702E"/>
    <w:rsid w:val="00050E0D"/>
    <w:rsid w:val="00051CE5"/>
    <w:rsid w:val="000522AD"/>
    <w:rsid w:val="000A4EC6"/>
    <w:rsid w:val="000C20E1"/>
    <w:rsid w:val="000E1CE3"/>
    <w:rsid w:val="000E3268"/>
    <w:rsid w:val="000F18D2"/>
    <w:rsid w:val="00106818"/>
    <w:rsid w:val="0012002D"/>
    <w:rsid w:val="00135CA3"/>
    <w:rsid w:val="001424F2"/>
    <w:rsid w:val="00157476"/>
    <w:rsid w:val="0017184F"/>
    <w:rsid w:val="001C0338"/>
    <w:rsid w:val="001C6464"/>
    <w:rsid w:val="001E2324"/>
    <w:rsid w:val="002319C3"/>
    <w:rsid w:val="00253E28"/>
    <w:rsid w:val="002545FD"/>
    <w:rsid w:val="00270578"/>
    <w:rsid w:val="00275579"/>
    <w:rsid w:val="0028247C"/>
    <w:rsid w:val="00295687"/>
    <w:rsid w:val="002A61B9"/>
    <w:rsid w:val="002C48E4"/>
    <w:rsid w:val="002D36B4"/>
    <w:rsid w:val="002F2598"/>
    <w:rsid w:val="00307162"/>
    <w:rsid w:val="00330DEB"/>
    <w:rsid w:val="00332951"/>
    <w:rsid w:val="0034113E"/>
    <w:rsid w:val="00355EB6"/>
    <w:rsid w:val="00371D51"/>
    <w:rsid w:val="003B4D21"/>
    <w:rsid w:val="003F172F"/>
    <w:rsid w:val="00414597"/>
    <w:rsid w:val="00424AD6"/>
    <w:rsid w:val="004448C1"/>
    <w:rsid w:val="00463164"/>
    <w:rsid w:val="00473FC5"/>
    <w:rsid w:val="004744E7"/>
    <w:rsid w:val="00482035"/>
    <w:rsid w:val="00487FBE"/>
    <w:rsid w:val="004A014D"/>
    <w:rsid w:val="004B0024"/>
    <w:rsid w:val="004B1BB6"/>
    <w:rsid w:val="004E1117"/>
    <w:rsid w:val="00512C48"/>
    <w:rsid w:val="00525316"/>
    <w:rsid w:val="00537875"/>
    <w:rsid w:val="00547B52"/>
    <w:rsid w:val="00547F64"/>
    <w:rsid w:val="00582436"/>
    <w:rsid w:val="005873EB"/>
    <w:rsid w:val="00596487"/>
    <w:rsid w:val="005C66FB"/>
    <w:rsid w:val="005C679D"/>
    <w:rsid w:val="005D6FDB"/>
    <w:rsid w:val="006221ED"/>
    <w:rsid w:val="00660D28"/>
    <w:rsid w:val="00690D9E"/>
    <w:rsid w:val="00692DBC"/>
    <w:rsid w:val="00695BDD"/>
    <w:rsid w:val="006B1739"/>
    <w:rsid w:val="006C2993"/>
    <w:rsid w:val="006E6C2A"/>
    <w:rsid w:val="006E6F10"/>
    <w:rsid w:val="00713E74"/>
    <w:rsid w:val="00730E03"/>
    <w:rsid w:val="0075091D"/>
    <w:rsid w:val="00751E94"/>
    <w:rsid w:val="00752AA4"/>
    <w:rsid w:val="0076162A"/>
    <w:rsid w:val="00767CF3"/>
    <w:rsid w:val="00771C88"/>
    <w:rsid w:val="007911FF"/>
    <w:rsid w:val="007945F4"/>
    <w:rsid w:val="007C00B7"/>
    <w:rsid w:val="007D71C0"/>
    <w:rsid w:val="007E3F5B"/>
    <w:rsid w:val="007E57AC"/>
    <w:rsid w:val="00812D8D"/>
    <w:rsid w:val="008161AA"/>
    <w:rsid w:val="008331F7"/>
    <w:rsid w:val="00876AE6"/>
    <w:rsid w:val="008A2C43"/>
    <w:rsid w:val="008B1949"/>
    <w:rsid w:val="008D7E08"/>
    <w:rsid w:val="008E5E8C"/>
    <w:rsid w:val="008F5626"/>
    <w:rsid w:val="00941367"/>
    <w:rsid w:val="00946731"/>
    <w:rsid w:val="00967BB4"/>
    <w:rsid w:val="00996DD0"/>
    <w:rsid w:val="009A096B"/>
    <w:rsid w:val="009A329C"/>
    <w:rsid w:val="009C4861"/>
    <w:rsid w:val="00A01A57"/>
    <w:rsid w:val="00A14BD1"/>
    <w:rsid w:val="00A1697F"/>
    <w:rsid w:val="00A37CDB"/>
    <w:rsid w:val="00A46830"/>
    <w:rsid w:val="00A61C38"/>
    <w:rsid w:val="00A71E0E"/>
    <w:rsid w:val="00A85A48"/>
    <w:rsid w:val="00AC3743"/>
    <w:rsid w:val="00AE6664"/>
    <w:rsid w:val="00AE6F8F"/>
    <w:rsid w:val="00B0269C"/>
    <w:rsid w:val="00B23C9E"/>
    <w:rsid w:val="00B260EA"/>
    <w:rsid w:val="00B27637"/>
    <w:rsid w:val="00B54053"/>
    <w:rsid w:val="00B641D9"/>
    <w:rsid w:val="00B7118B"/>
    <w:rsid w:val="00B91206"/>
    <w:rsid w:val="00B92822"/>
    <w:rsid w:val="00BB4706"/>
    <w:rsid w:val="00BF6446"/>
    <w:rsid w:val="00C1282C"/>
    <w:rsid w:val="00C36684"/>
    <w:rsid w:val="00C72188"/>
    <w:rsid w:val="00C83D49"/>
    <w:rsid w:val="00C8404A"/>
    <w:rsid w:val="00C84E65"/>
    <w:rsid w:val="00CA3F22"/>
    <w:rsid w:val="00CB163F"/>
    <w:rsid w:val="00CB1654"/>
    <w:rsid w:val="00CC7EFD"/>
    <w:rsid w:val="00CE6C05"/>
    <w:rsid w:val="00CF580A"/>
    <w:rsid w:val="00D03BD2"/>
    <w:rsid w:val="00D40C58"/>
    <w:rsid w:val="00D70C4A"/>
    <w:rsid w:val="00D70F8B"/>
    <w:rsid w:val="00D758BF"/>
    <w:rsid w:val="00D8556C"/>
    <w:rsid w:val="00DC2662"/>
    <w:rsid w:val="00DD3E54"/>
    <w:rsid w:val="00DE7C39"/>
    <w:rsid w:val="00E01AE2"/>
    <w:rsid w:val="00E20B0F"/>
    <w:rsid w:val="00E21AB2"/>
    <w:rsid w:val="00E428C6"/>
    <w:rsid w:val="00E534EF"/>
    <w:rsid w:val="00E55764"/>
    <w:rsid w:val="00E707EE"/>
    <w:rsid w:val="00E74981"/>
    <w:rsid w:val="00E768DE"/>
    <w:rsid w:val="00EC1957"/>
    <w:rsid w:val="00ED1E74"/>
    <w:rsid w:val="00EE1233"/>
    <w:rsid w:val="00EE49FB"/>
    <w:rsid w:val="00EE6DB7"/>
    <w:rsid w:val="00F52939"/>
    <w:rsid w:val="00F54FD6"/>
    <w:rsid w:val="00F617EA"/>
    <w:rsid w:val="00F7685E"/>
    <w:rsid w:val="00F834BE"/>
    <w:rsid w:val="00F94F06"/>
    <w:rsid w:val="00FC3088"/>
    <w:rsid w:val="00FD5C5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CEC5"/>
  <w15:docId w15:val="{4E5282F7-1301-4547-9E13-75B39DD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BE"/>
  </w:style>
  <w:style w:type="paragraph" w:styleId="2">
    <w:name w:val="heading 2"/>
    <w:basedOn w:val="a"/>
    <w:link w:val="20"/>
    <w:uiPriority w:val="9"/>
    <w:qFormat/>
    <w:rsid w:val="0069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2956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9568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95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Без интервала1"/>
    <w:link w:val="NoSpacingChar"/>
    <w:rsid w:val="00695BDD"/>
    <w:pPr>
      <w:spacing w:after="0" w:line="240" w:lineRule="auto"/>
    </w:pPr>
    <w:rPr>
      <w:rFonts w:ascii="Times New Roman" w:eastAsia="Calibri" w:hAnsi="Times New Roman" w:cs="Times New Roman"/>
      <w:szCs w:val="20"/>
      <w:lang w:val="uk-UA" w:eastAsia="ru-RU"/>
    </w:rPr>
  </w:style>
  <w:style w:type="character" w:customStyle="1" w:styleId="NoSpacingChar">
    <w:name w:val="No Spacing Char"/>
    <w:link w:val="10"/>
    <w:locked/>
    <w:rsid w:val="00695BDD"/>
    <w:rPr>
      <w:rFonts w:ascii="Times New Roman" w:eastAsia="Calibri" w:hAnsi="Times New Roman" w:cs="Times New Roman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E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707EE"/>
    <w:pPr>
      <w:ind w:left="720"/>
      <w:contextualSpacing/>
    </w:pPr>
  </w:style>
  <w:style w:type="paragraph" w:styleId="a8">
    <w:name w:val="Revision"/>
    <w:hidden/>
    <w:uiPriority w:val="99"/>
    <w:semiHidden/>
    <w:rsid w:val="00F5293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12C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2C4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2C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2C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2C48"/>
    <w:rPr>
      <w:b/>
      <w:bCs/>
      <w:sz w:val="20"/>
      <w:szCs w:val="20"/>
    </w:rPr>
  </w:style>
  <w:style w:type="character" w:styleId="ae">
    <w:name w:val="Subtle Emphasis"/>
    <w:basedOn w:val="a0"/>
    <w:uiPriority w:val="19"/>
    <w:qFormat/>
    <w:rsid w:val="0053787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CC8172C7B7384BBC55EE653AF78C98" ma:contentTypeVersion="12" ma:contentTypeDescription="Створення нового документа." ma:contentTypeScope="" ma:versionID="df924b7a41254209bac81eeb43eb1c68">
  <xsd:schema xmlns:xsd="http://www.w3.org/2001/XMLSchema" xmlns:xs="http://www.w3.org/2001/XMLSchema" xmlns:p="http://schemas.microsoft.com/office/2006/metadata/properties" xmlns:ns2="ddfcedc4-a826-4f99-92c5-c5c34615cd1b" xmlns:ns3="5f7e2be9-72be-4f77-9351-21342aac2b8d" targetNamespace="http://schemas.microsoft.com/office/2006/metadata/properties" ma:root="true" ma:fieldsID="67bd4b902557d19757b71bdc96cabd44" ns2:_="" ns3:_="">
    <xsd:import namespace="ddfcedc4-a826-4f99-92c5-c5c34615cd1b"/>
    <xsd:import namespace="5f7e2be9-72be-4f77-9351-21342aac2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edc4-a826-4f99-92c5-c5c34615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2be9-72be-4f77-9351-21342aac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C8DD-055E-47F8-9B21-89567575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42012-EE8C-4C2F-9372-C7F8585F2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59D95-3BC3-4DF5-8CEC-3EBDFD8A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cedc4-a826-4f99-92c5-c5c34615cd1b"/>
    <ds:schemaRef ds:uri="5f7e2be9-72be-4f77-9351-21342aac2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88700-4FD0-4484-9066-C9DADB5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Kuehne + Nagel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Konstantin</cp:lastModifiedBy>
  <cp:revision>6</cp:revision>
  <cp:lastPrinted>2021-08-02T13:22:00Z</cp:lastPrinted>
  <dcterms:created xsi:type="dcterms:W3CDTF">2021-07-30T11:37:00Z</dcterms:created>
  <dcterms:modified xsi:type="dcterms:W3CDTF">2021-08-03T09:08:00Z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0x01010095CC8172C7B7384BBC55EE653AF78C98</vt:lpwstr>
  </property>
</Properties>
</file>