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535" w:rsidRPr="00DC7535" w:rsidRDefault="00DC7535" w:rsidP="00DC7535">
      <w:pPr>
        <w:rPr>
          <w:b/>
        </w:rPr>
      </w:pPr>
      <w:r w:rsidRPr="00DC7535">
        <w:rPr>
          <w:b/>
        </w:rPr>
        <w:t>Вивіска «Об'ємні букви»</w:t>
      </w:r>
    </w:p>
    <w:p w:rsidR="00DC7535" w:rsidRPr="00DC7535" w:rsidRDefault="00DC7535" w:rsidP="00DC7535">
      <w:pPr>
        <w:rPr>
          <w:b/>
        </w:rPr>
      </w:pPr>
      <w:r w:rsidRPr="00DC7535">
        <w:rPr>
          <w:b/>
        </w:rPr>
        <w:t>Опис</w:t>
      </w:r>
    </w:p>
    <w:p w:rsidR="00DC7535" w:rsidRDefault="00DC7535" w:rsidP="00DC7535"/>
    <w:p w:rsidR="00DC7535" w:rsidRDefault="00DC7535" w:rsidP="00DC7535">
      <w:r>
        <w:t xml:space="preserve">1. Лицьова частина логотипу виконана кольорового литого акрилу ALTUGLAS (або </w:t>
      </w:r>
      <w:proofErr w:type="spellStart"/>
      <w:r>
        <w:t>Plexiglass</w:t>
      </w:r>
      <w:proofErr w:type="spellEnd"/>
      <w:r>
        <w:t>) (колір білий</w:t>
      </w:r>
      <w:r w:rsidR="00EE52CA" w:rsidRPr="00EE52CA">
        <w:t xml:space="preserve"> </w:t>
      </w:r>
      <w:r w:rsidR="00EE52CA">
        <w:rPr>
          <w:lang w:val="en-US"/>
        </w:rPr>
        <w:t>RAL9003</w:t>
      </w:r>
      <w:r>
        <w:t>), товщ.3мм;</w:t>
      </w:r>
    </w:p>
    <w:p w:rsidR="00DC7535" w:rsidRDefault="00DC7535" w:rsidP="00DC7535">
      <w:r>
        <w:t xml:space="preserve">2.Лицьова частина, букв VODAFONE виконана кольорового литого акрилу ALTUGLAS (або </w:t>
      </w:r>
      <w:proofErr w:type="spellStart"/>
      <w:r>
        <w:t>Plexiglass</w:t>
      </w:r>
      <w:proofErr w:type="spellEnd"/>
      <w:r>
        <w:t>) (колір білий</w:t>
      </w:r>
      <w:r w:rsidR="00EE52CA" w:rsidRPr="00EE52CA">
        <w:t xml:space="preserve"> </w:t>
      </w:r>
      <w:r w:rsidR="00EE52CA">
        <w:rPr>
          <w:lang w:val="en-US"/>
        </w:rPr>
        <w:t>RAL</w:t>
      </w:r>
      <w:r w:rsidR="00EE52CA" w:rsidRPr="00EE52CA">
        <w:t>9003</w:t>
      </w:r>
      <w:bookmarkStart w:id="0" w:name="_GoBack"/>
      <w:bookmarkEnd w:id="0"/>
      <w:r>
        <w:t>), товщ.3мм;</w:t>
      </w:r>
    </w:p>
    <w:p w:rsidR="00DC7535" w:rsidRDefault="00DC7535" w:rsidP="00DC7535">
      <w:r>
        <w:t xml:space="preserve">3. Сюжет </w:t>
      </w:r>
      <w:proofErr w:type="spellStart"/>
      <w:r>
        <w:t>Корп</w:t>
      </w:r>
      <w:proofErr w:type="spellEnd"/>
      <w:r>
        <w:t xml:space="preserve">. Логотип («Крапля» в колі), виконаний за допомогою аплікації. </w:t>
      </w:r>
      <w:proofErr w:type="spellStart"/>
      <w:r>
        <w:t>Плоттерна</w:t>
      </w:r>
      <w:proofErr w:type="spellEnd"/>
      <w:r>
        <w:t xml:space="preserve"> </w:t>
      </w:r>
      <w:proofErr w:type="spellStart"/>
      <w:r>
        <w:t>порізка</w:t>
      </w:r>
      <w:proofErr w:type="spellEnd"/>
      <w:r>
        <w:t xml:space="preserve"> ORACAL 8500 колір 31 червоний;</w:t>
      </w:r>
    </w:p>
    <w:p w:rsidR="00DC7535" w:rsidRDefault="00DC7535" w:rsidP="00DC7535">
      <w:r>
        <w:t xml:space="preserve">4.Бічна частина об'ємних елементів -ПВХ </w:t>
      </w:r>
      <w:proofErr w:type="spellStart"/>
      <w:r>
        <w:t>VeKaplanилиSimona</w:t>
      </w:r>
      <w:proofErr w:type="spellEnd"/>
      <w:r>
        <w:t xml:space="preserve">, </w:t>
      </w:r>
      <w:proofErr w:type="spellStart"/>
      <w:r>
        <w:t>товщ</w:t>
      </w:r>
      <w:proofErr w:type="spellEnd"/>
      <w:r>
        <w:t xml:space="preserve">. 3мм із </w:t>
      </w:r>
      <w:proofErr w:type="spellStart"/>
      <w:r>
        <w:t>закаткою</w:t>
      </w:r>
      <w:proofErr w:type="spellEnd"/>
      <w:r>
        <w:t xml:space="preserve"> плівки Оracal641 (білий глянець). Склейка лицьового акрилу та бокового </w:t>
      </w:r>
      <w:proofErr w:type="spellStart"/>
      <w:r>
        <w:t>пвх</w:t>
      </w:r>
      <w:proofErr w:type="spellEnd"/>
      <w:r>
        <w:t xml:space="preserve"> виробляється за допомогою клеїв CosmofenCA12 та </w:t>
      </w:r>
      <w:proofErr w:type="spellStart"/>
      <w:r>
        <w:t>CosmofenPMMA</w:t>
      </w:r>
      <w:proofErr w:type="spellEnd"/>
      <w:r>
        <w:t>;</w:t>
      </w:r>
    </w:p>
    <w:p w:rsidR="00DC7535" w:rsidRDefault="00DC7535" w:rsidP="00DC7535">
      <w:r>
        <w:t xml:space="preserve">5.Тильна частина об'ємних елементів -ПВХ </w:t>
      </w:r>
      <w:proofErr w:type="spellStart"/>
      <w:r>
        <w:t>VeKaplan</w:t>
      </w:r>
      <w:proofErr w:type="spellEnd"/>
      <w:r>
        <w:t xml:space="preserve"> </w:t>
      </w:r>
      <w:proofErr w:type="spellStart"/>
      <w:r>
        <w:t>абоSimon</w:t>
      </w:r>
      <w:proofErr w:type="spellEnd"/>
      <w:r>
        <w:t xml:space="preserve">), </w:t>
      </w:r>
      <w:proofErr w:type="spellStart"/>
      <w:r>
        <w:t>товщ</w:t>
      </w:r>
      <w:proofErr w:type="spellEnd"/>
      <w:r>
        <w:t xml:space="preserve">. 5мм із внутрішнім бортиком (по всьому периметру об'ємного елемента) із ПВХ </w:t>
      </w:r>
      <w:proofErr w:type="spellStart"/>
      <w:r>
        <w:t>VeKaplanилиSimona</w:t>
      </w:r>
      <w:proofErr w:type="spellEnd"/>
      <w:r>
        <w:t xml:space="preserve">, </w:t>
      </w:r>
      <w:proofErr w:type="spellStart"/>
      <w:r>
        <w:t>товщ</w:t>
      </w:r>
      <w:proofErr w:type="spellEnd"/>
      <w:r>
        <w:t xml:space="preserve">. 3мм, для одягання та кріплення на нього лицьової кришки. Склейка тилу та бортика проводитися за допомогою клеїв CosmofenCA12 та </w:t>
      </w:r>
      <w:proofErr w:type="spellStart"/>
      <w:r>
        <w:t>CosmofenPlus</w:t>
      </w:r>
      <w:proofErr w:type="spellEnd"/>
      <w:r>
        <w:t>;</w:t>
      </w:r>
    </w:p>
    <w:p w:rsidR="00DC7535" w:rsidRDefault="00DC7535" w:rsidP="00DC7535">
      <w:r>
        <w:t xml:space="preserve">6.Внутрішнє підсвічування </w:t>
      </w:r>
      <w:proofErr w:type="spellStart"/>
      <w:r>
        <w:t>корп</w:t>
      </w:r>
      <w:proofErr w:type="spellEnd"/>
      <w:r>
        <w:t>. логотипу світлодіодні модулі ELF (</w:t>
      </w:r>
      <w:proofErr w:type="spellStart"/>
      <w:r>
        <w:t>Twins</w:t>
      </w:r>
      <w:proofErr w:type="spellEnd"/>
      <w:r>
        <w:t xml:space="preserve">, </w:t>
      </w:r>
      <w:proofErr w:type="spellStart"/>
      <w:r>
        <w:t>Vivo</w:t>
      </w:r>
      <w:proofErr w:type="spellEnd"/>
      <w:r>
        <w:t xml:space="preserve"> III, Vivo2019), або Rishang2835, або SWP (</w:t>
      </w:r>
      <w:proofErr w:type="spellStart"/>
      <w:r>
        <w:t>Shine</w:t>
      </w:r>
      <w:proofErr w:type="spellEnd"/>
      <w:r>
        <w:t xml:space="preserve">, </w:t>
      </w:r>
      <w:proofErr w:type="spellStart"/>
      <w:r>
        <w:t>Optx</w:t>
      </w:r>
      <w:proofErr w:type="spellEnd"/>
      <w:r>
        <w:t xml:space="preserve">, </w:t>
      </w:r>
      <w:proofErr w:type="spellStart"/>
      <w:r>
        <w:t>Mini</w:t>
      </w:r>
      <w:proofErr w:type="spellEnd"/>
      <w:r>
        <w:t>), гарантія не менше 3х років, білого світіння 6500-7000К;</w:t>
      </w:r>
    </w:p>
    <w:p w:rsidR="00DC7535" w:rsidRDefault="00DC7535" w:rsidP="00DC7535">
      <w:r>
        <w:t xml:space="preserve">7.Внутрішнє підсвічування букв VODAFONE світлодіодні модулі ELF (3SMD2835, </w:t>
      </w:r>
      <w:proofErr w:type="spellStart"/>
      <w:r>
        <w:t>Twins</w:t>
      </w:r>
      <w:proofErr w:type="spellEnd"/>
      <w:r>
        <w:t xml:space="preserve">, </w:t>
      </w:r>
      <w:proofErr w:type="spellStart"/>
      <w:r>
        <w:t>Vivo</w:t>
      </w:r>
      <w:proofErr w:type="spellEnd"/>
      <w:r>
        <w:t xml:space="preserve"> III) або Rishang2835, або SWP (</w:t>
      </w:r>
      <w:proofErr w:type="spellStart"/>
      <w:r>
        <w:t>Shine</w:t>
      </w:r>
      <w:proofErr w:type="spellEnd"/>
      <w:r>
        <w:t xml:space="preserve">, </w:t>
      </w:r>
      <w:proofErr w:type="spellStart"/>
      <w:r>
        <w:t>Optx</w:t>
      </w:r>
      <w:proofErr w:type="spellEnd"/>
      <w:r>
        <w:t xml:space="preserve">, </w:t>
      </w:r>
      <w:proofErr w:type="spellStart"/>
      <w:r>
        <w:t>Mini</w:t>
      </w:r>
      <w:proofErr w:type="spellEnd"/>
      <w:r>
        <w:t>) червоного світла 620К;</w:t>
      </w:r>
    </w:p>
    <w:p w:rsidR="00DC7535" w:rsidRDefault="00DC7535" w:rsidP="00DC7535">
      <w:r>
        <w:t xml:space="preserve">8. Блок живлення 12В, герметичний (для вуличного використання) ELF </w:t>
      </w:r>
      <w:proofErr w:type="spellStart"/>
      <w:r>
        <w:t>Compact</w:t>
      </w:r>
      <w:proofErr w:type="spellEnd"/>
      <w:r>
        <w:t xml:space="preserve"> або </w:t>
      </w:r>
      <w:proofErr w:type="spellStart"/>
      <w:r>
        <w:t>MeanWell</w:t>
      </w:r>
      <w:proofErr w:type="spellEnd"/>
      <w:r>
        <w:t>, зі ступенем захисту не менше IP65; Потужність підбирати відповідно до навантаження.</w:t>
      </w:r>
    </w:p>
    <w:p w:rsidR="00DC7535" w:rsidRDefault="00DC7535" w:rsidP="00DC7535">
      <w:r>
        <w:t xml:space="preserve">9.Несучий </w:t>
      </w:r>
      <w:proofErr w:type="spellStart"/>
      <w:r>
        <w:t>металокаркас</w:t>
      </w:r>
      <w:proofErr w:type="spellEnd"/>
      <w:r>
        <w:t xml:space="preserve">, проф. труба 20х20х2мм із порошковим фарбуванням червоного кольору </w:t>
      </w:r>
      <w:r>
        <w:rPr>
          <w:lang w:val="en-US"/>
        </w:rPr>
        <w:t>RAL</w:t>
      </w:r>
      <w:r w:rsidRPr="00DC7535">
        <w:rPr>
          <w:lang w:val="ru-RU"/>
        </w:rPr>
        <w:t>3020</w:t>
      </w:r>
      <w:r>
        <w:t xml:space="preserve">. Усі частини каркаса повинні бути заглушені і не допускати попадання всередину вологи. Отвори під </w:t>
      </w:r>
      <w:proofErr w:type="spellStart"/>
      <w:r>
        <w:t>саморізи</w:t>
      </w:r>
      <w:proofErr w:type="spellEnd"/>
      <w:r>
        <w:t xml:space="preserve"> для кріплення до сітни в зручному місці.</w:t>
      </w:r>
    </w:p>
    <w:p w:rsidR="00DC7535" w:rsidRDefault="00DC7535" w:rsidP="00DC7535">
      <w:r>
        <w:t>10.Силіконові герметики та ущільнювачі для об'ємних елементів.</w:t>
      </w:r>
    </w:p>
    <w:p w:rsidR="00F55090" w:rsidRDefault="00DC7535" w:rsidP="00DC7535">
      <w:r>
        <w:t>11.Зовнішні елементи кріплення (</w:t>
      </w:r>
      <w:proofErr w:type="spellStart"/>
      <w:r>
        <w:t>саморізи</w:t>
      </w:r>
      <w:proofErr w:type="spellEnd"/>
      <w:r>
        <w:t xml:space="preserve">, болти), повинні бути пофарбовані у відповідний колір елементів вивіски, або використовувати </w:t>
      </w:r>
      <w:proofErr w:type="spellStart"/>
      <w:r>
        <w:t>саморезидекоративні</w:t>
      </w:r>
      <w:proofErr w:type="spellEnd"/>
      <w:r>
        <w:t>, які не «впадають в очі»</w:t>
      </w:r>
    </w:p>
    <w:p w:rsidR="00F55090" w:rsidRDefault="00DC7535" w:rsidP="00DC7535">
      <w:r>
        <w:t>Всі елементи лицьової панелі (</w:t>
      </w:r>
      <w:proofErr w:type="spellStart"/>
      <w:r>
        <w:t>корп.логотипи</w:t>
      </w:r>
      <w:proofErr w:type="spellEnd"/>
      <w:r>
        <w:t xml:space="preserve"> тощо) залежать від висоти конструкції, згідно Бренд бука</w:t>
      </w:r>
      <w:r w:rsidR="00F55090">
        <w:t>.</w:t>
      </w:r>
    </w:p>
    <w:p w:rsidR="00DC7535" w:rsidRDefault="00F55090" w:rsidP="00DC7535">
      <w:r w:rsidRPr="00067BAC">
        <w:rPr>
          <w:noProof/>
          <w:sz w:val="24"/>
          <w:szCs w:val="24"/>
          <w:u w:val="single"/>
          <w:lang w:eastAsia="uk-UA"/>
        </w:rPr>
        <w:drawing>
          <wp:inline distT="0" distB="0" distL="0" distR="0" wp14:anchorId="267EEB35" wp14:editId="6E121A21">
            <wp:extent cx="4980215" cy="225321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84122" cy="2254981"/>
                    </a:xfrm>
                    <a:prstGeom prst="rect">
                      <a:avLst/>
                    </a:prstGeom>
                    <a:noFill/>
                    <a:ln>
                      <a:noFill/>
                    </a:ln>
                  </pic:spPr>
                </pic:pic>
              </a:graphicData>
            </a:graphic>
          </wp:inline>
        </w:drawing>
      </w:r>
    </w:p>
    <w:p w:rsidR="00DC7535" w:rsidRDefault="00DC7535" w:rsidP="00DC7535"/>
    <w:p w:rsidR="00DC7535" w:rsidRPr="00DC7535" w:rsidRDefault="00DC7535" w:rsidP="00DC7535">
      <w:pPr>
        <w:rPr>
          <w:b/>
        </w:rPr>
      </w:pPr>
      <w:r w:rsidRPr="00DC7535">
        <w:rPr>
          <w:b/>
        </w:rPr>
        <w:t>ВИМОГИ ПО ГАРАНТІЇ</w:t>
      </w:r>
    </w:p>
    <w:p w:rsidR="00DC7535" w:rsidRDefault="00DC7535" w:rsidP="00DC7535">
      <w:r>
        <w:t>Термін гарантії (мінімум 1 рік) на вивіску з дати поставки.</w:t>
      </w:r>
    </w:p>
    <w:p w:rsidR="00DC7535" w:rsidRDefault="00DC7535" w:rsidP="00DC7535">
      <w:r>
        <w:t>Вимоги щодо гарантії:</w:t>
      </w:r>
    </w:p>
    <w:p w:rsidR="00DC7535" w:rsidRDefault="00DC7535" w:rsidP="00DC7535">
      <w:r>
        <w:t>Посібник з експлуатації (паспорт) надається постачальником під час постачання вивіски. У період гарантійного терміну постачальник зобов'язується безкоштовно усунути виробничі дефекти або дефекти комплектуючих (електрична частина та інші елементи вивіски) шляхом ремонту або заміни на аналогічну за функціями та видом деталь. Частини вивіски, які потребують заміни, регулювання або встановлення, в період дії гарантійних зобов'язань ремонтуються, регулюються або замінюються за рахунок постачальника.</w:t>
      </w:r>
    </w:p>
    <w:p w:rsidR="00DC7535" w:rsidRDefault="00DC7535" w:rsidP="00DC7535">
      <w:r>
        <w:t>Частини вивіски, вимоги до яких регламентовані ТЗ (колір, інтенсивність світіння та ін.) під час дії гарантійних зобов'язань, ремонтуються, регулюються чи замінюються з допомогою постачальника.</w:t>
      </w:r>
    </w:p>
    <w:p w:rsidR="00DC7535" w:rsidRDefault="00DC7535" w:rsidP="00DC7535">
      <w:r>
        <w:t>Гарантійна заміна елементів/регулювання повинні бути здійснені протягом 14 календарних днів з моменту подання заявки. Гарантійний ремонт повинен бути здійснений протягом 21 календарного дня з моменту подання заявки.</w:t>
      </w:r>
    </w:p>
    <w:p w:rsidR="00DC7535" w:rsidRDefault="00DC7535" w:rsidP="00DC7535">
      <w:r>
        <w:t>Гарантійне обслуговування не надається:</w:t>
      </w:r>
    </w:p>
    <w:p w:rsidR="00DC7535" w:rsidRDefault="00DC7535" w:rsidP="00DC7535">
      <w:r>
        <w:t>при недотриманні правил експлуатації та зберігання;</w:t>
      </w:r>
    </w:p>
    <w:p w:rsidR="00DC7535" w:rsidRDefault="00DC7535" w:rsidP="00DC7535">
      <w:r>
        <w:t>випадок використання виробу не за прямим призначенням;</w:t>
      </w:r>
    </w:p>
    <w:p w:rsidR="00DC7535" w:rsidRDefault="00DC7535" w:rsidP="00DC7535">
      <w:r>
        <w:t> у разі механічних пошкоджень (вм'ятина, подряпини, тріщини тощо), пошкодження внаслідок необережного поводження або застосування надмірних зусиль.</w:t>
      </w:r>
    </w:p>
    <w:p w:rsidR="001F04FA" w:rsidRDefault="00DC7535" w:rsidP="00DC7535">
      <w:r>
        <w:t> у разі внесення змін до конструкції виробу, за наявності слідів ремонту.</w:t>
      </w:r>
    </w:p>
    <w:sectPr w:rsidR="001F04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EE"/>
    <w:rsid w:val="001F04FA"/>
    <w:rsid w:val="00A64BEE"/>
    <w:rsid w:val="00DC7535"/>
    <w:rsid w:val="00EE52CA"/>
    <w:rsid w:val="00F550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9C4D"/>
  <w15:chartTrackingRefBased/>
  <w15:docId w15:val="{5B4FBA98-1FAE-47AF-95C2-D7B68277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2189</Words>
  <Characters>1248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Maitamal Vitalii</dc:creator>
  <cp:keywords/>
  <dc:description/>
  <cp:lastModifiedBy>Maitamal Vitalii</cp:lastModifiedBy>
  <cp:revision>4</cp:revision>
  <dcterms:created xsi:type="dcterms:W3CDTF">2023-05-18T11:10:00Z</dcterms:created>
  <dcterms:modified xsi:type="dcterms:W3CDTF">2023-05-18T11:38:00Z</dcterms:modified>
</cp:coreProperties>
</file>