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  <w:lang w:val="uk-UA"/>
        </w:rPr>
        <w:t>ВИДИ РОБІТ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1. Роботи з надвору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>- Обшивка воріт розміром 3,1*2,8  профнастилом з обох боків  - 17,36м.кв*_____</w:t>
      </w:r>
      <w:r>
        <w:rPr>
          <w:rFonts w:ascii="Times New Roman" w:hAnsi="Times New Roman"/>
          <w:sz w:val="28"/>
          <w:szCs w:val="28"/>
          <w:u w:val="none"/>
          <w:lang w:val="ru-RU"/>
        </w:rPr>
        <w:t>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>- Виготовлення та монтаж металевих ручок на ворота — 2шт*__________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>- Заміна механізму засуву воріт — 1шт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>- Дрібний ремонт цегляної стіни (підштукатурення нижньої частини цегляної стіни цементно пісчаним розчином) — 3м.пог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- Демонтаж частини старого асфальтного покриття на майданчику розміром 3м*2м, перед входом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>=6м.кв.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- Армування майданчика перед входом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>=6м.кв.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- Бетонування перед входом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en-US"/>
        </w:rPr>
        <w:t>S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>=6м.кв.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- Виготовлення каркасу с ГКЛ профілей для обшивки плитами ОСБ  = 12м.кв. 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  <w:lang w:val="uk-UA"/>
        </w:rPr>
        <w:t>- Зашивка плитами ОСБ = 12м.кв.*</w:t>
      </w: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 xml:space="preserve">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z w:val="28"/>
          <w:szCs w:val="28"/>
          <w:u w:val="none"/>
          <w:lang w:val="uk-UA"/>
        </w:rPr>
        <w:t>4.Улаштування пройому в капітальній стіні з підсиленням металевими конструкціями розмірами 3м.*4м.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Улаштування штроби в капітальній стіні з обох боків розмірами 4020мм*250мм глибиною 100мм — 8м.пог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- Монтаж перемичок (швеллер №24 з обох боків закріплений шпильками) 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Прорізання цегляної стіни алмазним інструментом — 20м.пог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Демонтаж цегляної кладки — 4,56 м.куб*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Монтаж опорних кутиків 100*100*7 по краям стін з обох боків. - 12м.пог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Обварка кутиків та швелерів пластинами 50мм — 10 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Оздоблення країв стінок (відкосів) цементно пісчаним розчином — 10м.пог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  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5.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Виготовлення та монтаж металевих воріт розміром 3*4м (робота)*__________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6.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дверного пройому розіром 2,05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7.Встановлення деревяних  дверей — 2шт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8. Встановлення металлопластикових  дверей - 1шт*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9. Встановлення дверей з підвищеною шумоізоляцією — 1шт*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 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10. Дрібний ремонт стін (підштукатурення частини цегляної стіни цементно пісчаним розчином) — 39м.кв.*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11.Побілка стін в цеху — 110м.кв.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12. Благоустрій сходів                                                                                      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Зварювальні роботи (виготовлення та монтаж елементів огорожі) — 3м.пог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сходів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Фарбування сходів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  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   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Всього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__________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13.                                                       1-й поверх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13.1 Улаштування підлоги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Улаштування стяжки до 50мм — 60м.кв.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- Улаштування наливної підлоги “Нівелір” - 60м.кв.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плит ОСБ (т10мм) по довжині приміщення — 60м.кв.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*__________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плит ОСБ (т10мм) по ширині приміщення — 60м.к.в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лінолеуму “Комерція” на ОСБ плити  60м.кв.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Монтаж пластикових плінтусів — 72м.пог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13.2 Улаштування перестінків з ГКЛ та профнастилу — 14м.кв. (кім. 1.3, 1.4, 1.5)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Улаштування каркасу з ГКЛ профілів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Утеплення перестінку мінеральною ватою — 14м.кв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 xml:space="preserve">*__________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14м.кв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14м.кв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- Фарбування шпалер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(в два шари)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зворотньої частини перестінку профнастилом — 14м.кв.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Установка металлопластикових вікон — 5,2 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Монтаж підвіконь на два вікна — 4 м.пог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стиків між вікном та металлопрофілем (улаштування примикань) — 13,2м.пог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13.3 Улаштування фальш стіни з ГКЛ з утепленням  базальтовою ватою — 40м.кв. (обої під фарбування)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каркасу з ГКЛ профілів — 40м.кв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Утеплення перестінку мінеральною ватою — 40м.кв.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- 40м.кв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40м.кв.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40м.кв.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40м.кв.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40м.кв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40м.кв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  (в два шари) — 40м.кв.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13.4 Улаштування фальш стіни з ГКЛ  — 36м.кв. (шпалери під фарбування)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каркасу з ГКЛ профілів — 36м.кв.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- 36м.кв.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36м.кв.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36м.кв.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36м.кв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36м.кв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36м.кв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 (в два шари) — 36м.кв.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13.5Улаштування перегородки з ГКЛ  — 12,58 м.кв. (шпалери під фарбування) (кім. 1.6, 1.7,1.8)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Улаштування каркасу з ГКЛ профілів — 12,58м.кв. 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Утеплення перестінку мінеральною ватою (шумоізоляція) — 12,58м.кв.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- 25м.кв. (дві сторони)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25м.кв. (дві сторони)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25м.кв. (дві сторони)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25м.кв. (дві сторони)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25м.кв (дві сторони)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25м.кв (дві сторони)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 (в два шари) — 25м.кв. (дві сторони)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13.6Улаштування фальш стіни з ГКЛ  — 71м.кв. (шпалери під фарбування)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Решта стін в кім. (1.6,1.7,1.8)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каркасу з ГКЛ профілів — 71м.кв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- 71м.кв.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71м.кв.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71м.кв.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71м.кв.*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71м.кв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71м.кв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 (в два шари) —71м.кв.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13.7Установка міжкімнатних дверей — 2шт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13.8 Улаштування підвісних стель типу “Армстронг” - 60м.кв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13.9 Улаштування приточно витяжної системи вентиляції 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—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 6 ділянок (кім. 1.3,1.4,1.5,1.6,1.7,1.8)</w:t>
      </w: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14.                                               2-й поверх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14.1 Улаштування підлоги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плит ОСБ (т10мм) по довжині приміщення — 40м.кв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плит ОСБ (т10мм) по ширині приміщення — 40м.к.в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Укладка лінолеуму “КОМЕРЦІЯ” на ОСБ плити — 40м.кв.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Монтаж пластикових плінтусів -  27м.пог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14.2 Улаштування фальш стіни з ГКЛ з утепленням  базальтовою ватою — 28м.кв. (обої під фарбування)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каркасу з ГКЛ профілів —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Утеплення перестінку мінеральною ватою —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28м.кв.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28м.кв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28м.кв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 (в два шари)— 28м.кв.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/>
          <w:i/>
          <w:iCs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/>
          <w:i/>
          <w:iCs/>
          <w:strike w:val="false"/>
          <w:dstrike w:val="false"/>
          <w:sz w:val="28"/>
          <w:szCs w:val="28"/>
          <w:u w:val="none"/>
          <w:lang w:val="uk-UA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 xml:space="preserve">14.3 Улаштування фальш стіни з ГКЛ  — 45м.кв.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Улаштування каркасу з ГКЛ профілів —45м.кв.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Зашивка перестінку ГКЛ  - 45м.кв.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45м.кв.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45м.кв.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Грунтування ГКЛ — 45м.кв.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45м.кв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- Поклейка шпалер — 45м.кв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шпалер (в два шари)  — 45м.кв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14.4 Установка міжкімнатних дверей  (металлопластик)— 2шт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 xml:space="preserve">14.5 Виготовлення та монтаж металевого порожку — 1 шт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14.6 Улаштування підвісних стель типу “Армстронг” - 40м.кв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76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76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14.7.Кабінет керівника (2.1)</w:t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Підлога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Демонтаж існуючих плінтусів — 12м.пог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Демонтаж існуючого лінолеуму — 10м.кв.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Заміна лінолеуму  — 10м.кв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Монтаж пластикових плінтусів — 12м.пог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/>
          <w:i/>
          <w:iCs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Стіни в кабінеті 2.1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грунтування стін — 25м.кв.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шпаклівка старт — 25м.кв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грунтування стін — 25м.кв.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шпаклівка фініш — 25м.кв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стін (в два шари) — 25м.кв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i/>
          <w:i/>
          <w:iCs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spacing w:lineRule="auto" w:line="276"/>
        <w:rPr>
          <w:u w:val="none"/>
        </w:rPr>
      </w:pPr>
      <w:r>
        <w:rPr>
          <w:rFonts w:ascii="Times New Roman" w:hAnsi="Times New Roman"/>
          <w:b/>
          <w:bCs/>
          <w:i/>
          <w:iCs/>
          <w:strike w:val="false"/>
          <w:dstrike w:val="false"/>
          <w:sz w:val="28"/>
          <w:szCs w:val="28"/>
          <w:u w:val="none"/>
          <w:lang w:val="uk-UA"/>
        </w:rPr>
        <w:t>Стеля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- Фарбування стелі  (в два шари) — 10м.кв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Normal"/>
        <w:spacing w:lineRule="auto" w:line="276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spacing w:lineRule="auto" w:line="276"/>
        <w:jc w:val="center"/>
        <w:rPr>
          <w:u w:val="none"/>
          <w:lang w:val="uk-UA"/>
        </w:rPr>
      </w:pPr>
      <w:r>
        <w:rPr>
          <w:u w:val="none"/>
          <w:lang w:val="uk-UA"/>
        </w:rPr>
        <w:t xml:space="preserve">        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ЕЛЕКТРИКА</w:t>
      </w:r>
    </w:p>
    <w:p>
      <w:pPr>
        <w:pStyle w:val="Normal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СКЛАД: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1. Встановлення ЩС-1 згідно схеми — 1шт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2.Прокладка ліній силових до ЩР-1,2,3 /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комплекс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  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 xml:space="preserve">3. Освітлення в складі (заміна старих існуючих освітлювальних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приладів на нові) — 20шт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4.Освітлення рампи: 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Монтаж та підключення світильників — 3шт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Монтаж та підключення прожекторів — 5шт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tabs>
          <w:tab w:val="left" w:pos="1728" w:leader="none"/>
        </w:tabs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УЛАШТУВАННЯ ОПЕРАТОРСЬКОЇ 1.3</w:t>
      </w:r>
    </w:p>
    <w:p>
      <w:pPr>
        <w:pStyle w:val="ListParagraph"/>
        <w:tabs>
          <w:tab w:val="left" w:pos="1728" w:leader="none"/>
        </w:tabs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1.Встановлення розеток 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u w:val="none"/>
          <w:lang w:val="uk-UA"/>
        </w:rPr>
        <w:t>Schneider —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8шт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2. Прокладання лінії живлення кабелем ВВГ нгд 3х2.5, під підвісною стелею в метало рукаві до опуску в коробі —  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158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3.Підключення на Дифавтомат Hager AD906J 20A 30мА 6кА —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4.Встановлення та підключення  LED  світильника (ENERLIGHT AROSA 36Вт 6500К) згідно схеми — 3шт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5.Встановлення 1 кл. Накладного вимикача Schneider для вкл./викл. освітлення операторсікої - 1шт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6.Встановлення ЩС-1 згідно схеми — 1шт</w:t>
      </w:r>
      <w:r>
        <w:rPr>
          <w:rFonts w:ascii="Times New Roman" w:hAnsi="Times New Roman"/>
          <w:b/>
          <w:bCs/>
          <w:strike w:val="false"/>
          <w:dstrike w:val="false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7.Встановлення розеток під обігрівачі 1шт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8.Встановити розетку під кондиціонер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9.Прокласти лінії живлення під підвісною стелею в метало рукаві до опуску в коробі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10. Підключення до ЩС-1 згідно схеми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УЛАШТУВАННЯ ПРИМІЩЕННЯ 1.4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1.Монтаж та підключення світильників згідно схеми — 4шт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2.Встановлення 2х кл. накладного вимикачу Schneider для вкл./викл. освітлення зони клієнтів —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3.Встановлення розетки під обігрівач та кулер — 2шт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4.Прокласти лінії живлення під підвісною стелею в метало рукаві до опуску в коробі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5.Підключення до ЩР-1 згідно схеми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tabs>
          <w:tab w:val="left" w:pos="1728" w:leader="none"/>
        </w:tabs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УЛАШТУВАННЯ ОПЕРАТОРСЬКОЇ 1.5</w:t>
      </w:r>
    </w:p>
    <w:p>
      <w:pPr>
        <w:pStyle w:val="ListParagraph"/>
        <w:tabs>
          <w:tab w:val="left" w:pos="1728" w:leader="none"/>
        </w:tabs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1.Встановлення розеток 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Schneider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- 8шт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2.Прокладання лінії живлення кабелем ВВГ нгд 3х2.5, під підвісною стелею в метало рукаві до опуску в коробі —500грн/комплекс робіт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3.Підключення на Дифавтомат Hager AD906J 20A 30мА 6кА — 1шт*80грн/шт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2304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4.Встановлення та підключення  LED  світильника (ENERLIGHT AROSA 36Вт 6500К) згідно схеми — 3шт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5.Встановлення 1 кл. Накладного вимикача Schneider для вкл./викл. освітлення операторсікої - 1шт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8"/>
          <w:szCs w:val="28"/>
          <w:u w:val="none"/>
          <w:lang w:val="uk-UA"/>
        </w:rPr>
        <w:t>6.Встановлення ЩР-1 згідно схеми —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7.Встановлення розеток під обігрівачі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8.Встановити розетку під кондиціонер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9.Прокласти лінії живлення під підвісною стелею в метало рукаві до опуску в коробі.500грн/комплекс робіт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10.Підключення до ЩР-3 згідно схеми -1шт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                    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УЛАШТУВАННЯ ПОБУТОВИХ ПРИМІЩЕНЬ 1.6,1.7,1.8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1.Встановити ЩР-3 згідно схеми - 1шт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2.Встановилення та підключення  10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LED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 світильника (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ENERLIGHT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AROSA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36Вт 6500К) згідно схеми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u w:val="none"/>
          <w:lang w:val="uk-UA"/>
        </w:rPr>
        <w:t>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3.Встановлення 1 кл. Накладного вимикача Schneider для вкл./викл. освітлення операторсікої — 3шт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4.Встановлення розеток під обігрівачі1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5.Прокласти лінії живлення під підвісною стелею в метало рукаві до опуску в коробі./комплекс робі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6.Підключення до ЩР-3 згідно схеми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 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УЛАШТУВАННЯ ПОБУТОВИХ ПРИМІЩЕНЬ 2 го поверху ( 2.1,2.2,2.3)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1.Встановити ЩР-2 згідно схеми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2.Встановилення та підключення 5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LED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 світильника (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ENERLIGHT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en-US"/>
        </w:rPr>
        <w:t>AROSA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36Вт 6500К) згідно схеми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8"/>
          <w:szCs w:val="28"/>
          <w:u w:val="none"/>
          <w:lang w:val="uk-UA"/>
        </w:rPr>
        <w:t>.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3.Встановлення 1 кл. Накладного вимикача Schneider для вкл./викл. освітлення операторсікої — 2шт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4.Встановлення 2 кл. Накладного вимикача Schneider для вкл./викл. освітлення операторсікої — 2шт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5.Встановлення розеток під обігрівачі  1шт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6.Встановити ЩС-2 згідно схеми для підключення дизель генератора - 1шт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  <w:t>*__________</w:t>
      </w:r>
    </w:p>
    <w:p>
      <w:pPr>
        <w:pStyle w:val="ListParagraph"/>
        <w:numPr>
          <w:ilvl w:val="0"/>
          <w:numId w:val="0"/>
        </w:numPr>
        <w:ind w:left="1440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spacing w:lineRule="auto" w:line="276"/>
        <w:rPr>
          <w:u w:val="none"/>
          <w:lang w:val="uk-UA"/>
        </w:rPr>
      </w:pPr>
      <w:r>
        <w:rPr>
          <w:u w:val="none"/>
          <w:lang w:val="uk-UA"/>
        </w:rPr>
        <w:t xml:space="preserve">                </w:t>
      </w:r>
      <w:r>
        <w:rPr>
          <w:sz w:val="32"/>
          <w:szCs w:val="32"/>
          <w:u w:val="none"/>
          <w:lang w:val="uk-UA"/>
        </w:rPr>
        <w:t xml:space="preserve">          </w:t>
      </w:r>
    </w:p>
    <w:p>
      <w:pPr>
        <w:pStyle w:val="Normal"/>
        <w:spacing w:lineRule="auto" w:line="276"/>
        <w:rPr>
          <w:u w:val="none"/>
          <w:lang w:val="uk-UA"/>
        </w:rPr>
      </w:pPr>
      <w:r>
        <w:rPr>
          <w:u w:val="none"/>
          <w:lang w:val="uk-UA"/>
        </w:rPr>
      </w:r>
    </w:p>
    <w:p>
      <w:pPr>
        <w:pStyle w:val="Normal"/>
        <w:spacing w:lineRule="auto" w:line="276"/>
        <w:rPr>
          <w:b/>
          <w:b/>
          <w:bCs/>
          <w:sz w:val="32"/>
          <w:szCs w:val="32"/>
          <w:u w:val="none"/>
          <w:lang w:val="uk-UA"/>
        </w:rPr>
      </w:pPr>
      <w:r>
        <w:rPr/>
      </w:r>
    </w:p>
    <w:p>
      <w:pPr>
        <w:pStyle w:val="Normal"/>
        <w:spacing w:lineRule="auto" w:line="276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LibreOffice/5.4.2.2$Windows_x86 LibreOffice_project/22b09f6418e8c2d508a9eaf86b2399209b0990f4</Application>
  <Pages>7</Pages>
  <Words>1254</Words>
  <Characters>9377</Characters>
  <CharactersWithSpaces>11297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2019-03-12T21:25:14Z</dcterms:created>
  <dc:creator/>
  <dc:description/>
  <dc:language>ru-RU</dc:language>
  <cp:lastModifiedBy/>
  <dcterms:modified xsi:type="dcterms:W3CDTF">2019-03-14T09:06:44Z</dcterms:modified>
  <cp:revision>9</cp:revision>
  <dc:subject/>
  <dc:title/>
</cp:coreProperties>
</file>