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42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Технічне завдання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 робіт: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Заміна ФЕМ та бортових каменів, монтаж нових лотків водовідведення та влаштування асфальтобетонного покриття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Місце проведення робіт: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Берегівський р-н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Термін виконання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робіт: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 більше 45 робочих днів 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Початок виконання робіт: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планово</w:t>
      </w:r>
    </w:p>
    <w:p w:rsidR="00000000" w:rsidDel="00000000" w:rsidP="00000000" w:rsidRDefault="00000000" w:rsidRPr="00000000" w14:paraId="00000006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Умови виконання робіт: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Підрядник виконує усі види робіт згідно дефектного акту та відповідно до вимог Національного Стандарту України ДСТУ Б Д.1.1-1:2013 з додержанням вимог діючого законодавства України, чинних нормативно-правових документів та нормативно-правових актів.</w:t>
      </w:r>
    </w:p>
    <w:p w:rsidR="00000000" w:rsidDel="00000000" w:rsidP="00000000" w:rsidRDefault="00000000" w:rsidRPr="00000000" w14:paraId="00000007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Технологія та якість виконуваних робіт, якість застосованих матеріалів повинні відповідати вимогам діючих державних стандартів, будівельних, протипожежних та санітарних норм і правил встановлених для даних видів робіт. </w:t>
      </w:r>
    </w:p>
    <w:p w:rsidR="00000000" w:rsidDel="00000000" w:rsidP="00000000" w:rsidRDefault="00000000" w:rsidRPr="00000000" w14:paraId="00000008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Використовувані матеріали і обладнання повинні відповідати кошторисній документації, державним стандартам і технічним умовам.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виконують в такій послідовності:</w:t>
      </w:r>
    </w:p>
    <w:tbl>
      <w:tblPr>
        <w:tblStyle w:val="Table1"/>
        <w:tblW w:w="9821.0" w:type="dxa"/>
        <w:jc w:val="left"/>
        <w:tblInd w:w="55.0" w:type="pct"/>
        <w:tblLayout w:type="fixed"/>
        <w:tblLook w:val="0000"/>
      </w:tblPr>
      <w:tblGrid>
        <w:gridCol w:w="567"/>
        <w:gridCol w:w="6746"/>
        <w:gridCol w:w="1404"/>
        <w:gridCol w:w="1104"/>
        <w:tblGridChange w:id="0">
          <w:tblGrid>
            <w:gridCol w:w="567"/>
            <w:gridCol w:w="6746"/>
            <w:gridCol w:w="1404"/>
            <w:gridCol w:w="1104"/>
          </w:tblGrid>
        </w:tblGridChange>
      </w:tblGrid>
      <w:tr>
        <w:trPr>
          <w:cantSplit w:val="0"/>
          <w:trHeight w:val="710" w:hRule="atLeast"/>
          <w:tblHeader w:val="1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B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Найменування робіт і витрат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Од. виміру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К-ть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ЗАМІНА БОРТОВИХ КАМЕНІВ БР1000.300.150 (вібропресовані)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Розбирання бортових каменів (100% сміття)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Перевезення будівельного сміття самоскидами на</w:t>
            </w:r>
          </w:p>
          <w:p w:rsidR="00000000" w:rsidDel="00000000" w:rsidP="00000000" w:rsidRDefault="00000000" w:rsidRPr="00000000" w14:paraId="00000019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вiдстань 20 км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18,721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Установлення бортових каменів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223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1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ФЕМ –ПЕРЕМОНТАЖ В МІСЦЯХ ПРИМИКАННЯ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 69,2м2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Демонтаж покриттiв з дрiбнорозмiрних фiгурних</w:t>
              <w:br w:type="textWrapping"/>
              <w:t xml:space="preserve">елементiв мощення [ФЭМ]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69,2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Зняття цементно піщаної основи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м3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3,46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Перевезення ФЕМ ( будівельного сміття )</w:t>
              <w:br w:type="textWrapping"/>
              <w:t xml:space="preserve">самоскидами на вiдстань 20 км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14,606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Улаштування покриттiв з дрiбнорозмiрних фiгурних</w:t>
              <w:br w:type="textWrapping"/>
              <w:t xml:space="preserve">елементiв мощення [ФЭМ] b=80мм на цементно-пісчану</w:t>
              <w:br w:type="textWrapping"/>
              <w:t xml:space="preserve">суміш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м2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69,2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Готування цементно-піщаної суміші(цемент+щебеневий відсів)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3,8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Різання дрiбнорозмiрних фiгурних елементiв мощення</w:t>
            </w:r>
          </w:p>
          <w:p w:rsidR="00000000" w:rsidDel="00000000" w:rsidP="00000000" w:rsidRDefault="00000000" w:rsidRPr="00000000" w14:paraId="0000003A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[ФЭМ]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 різу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ЛИВНЕВА КАНАЛІЗАЦІЯ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Доробка вручну в траншеях глибиною до 2 м без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крiплень з укосами, група ґрунту 2 (під лотки)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2,61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Встановлення водовідвідних лотків посиленої серії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BetoMax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Basic з шириною гідравлічного перерізу 200 мм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Улаштування колодязів дощоприймальних круглих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діаметром 1,0 м із збірного залізобетону в сухих грунтах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Улаштування піщаної основи під трубопроводи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Укладання трубопроводів з двошарових гофрованих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труб "КОРСИС" довжиною 6 м і діаметром 160 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Розробка ґрунту вручну в траншеях глибиною до 2 м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 кріплень з укосами, група ґрунту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Встановлення дощоприймальних колодязів посиленої</w:t>
            </w:r>
          </w:p>
          <w:p w:rsidR="00000000" w:rsidDel="00000000" w:rsidP="00000000" w:rsidRDefault="00000000" w:rsidRPr="00000000" w14:paraId="00000060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серії BetoMax или CompoMax DN500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ВЛАШТУВАННЯ АСФАЛЬТОБЕТОННОГО ПОКРИТТЯ: товщиною 10см+20см основа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Зняття старого асфальту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Перевезення будівельного сміття  самоскидами на</w:t>
              <w:br w:type="textWrapping"/>
              <w:t xml:space="preserve">вiдстань 20 км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Улаштування одношарових основ товщиною 15 см</w:t>
              <w:br w:type="textWrapping"/>
              <w:t xml:space="preserve">iзщебеневої суміші з межею мiцностi на стиск до 98,1</w:t>
              <w:br w:type="textWrapping"/>
              <w:t xml:space="preserve">МПа [1000 кг/см2]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кожний 1 см зміни товщини шару додавати або</w:t>
            </w:r>
          </w:p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виключати до норм 18-23-5, 18-23-6, 18-23-7(до товщ 20см)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Улаштування покриттiв товщиною 4 см iз гарячих</w:t>
              <w:br w:type="textWrapping"/>
              <w:t xml:space="preserve">асфальтобетонних сумiшей крупнозернистих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 кожнi 0,5 см змiни товщини шару додавати до товщ.</w:t>
              <w:br w:type="textWrapping"/>
              <w:t xml:space="preserve">6см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Улаштування покриттiв товщиною 4 см iз гарячих</w:t>
              <w:br w:type="textWrapping"/>
              <w:t xml:space="preserve">асфальтобетонних сумiшей дрібнозернистих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Lines w:val="1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720</w:t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08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Підтвердження цінової пропозиції:</w:t>
      </w:r>
    </w:p>
    <w:p w:rsidR="00000000" w:rsidDel="00000000" w:rsidP="00000000" w:rsidRDefault="00000000" w:rsidRPr="00000000" w14:paraId="00000086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Документальне підтвердження відповідності послуг документації торгів повинно мати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розрахунок договірної ціни.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До ціни пропозиції включаються за статтями витрат договірної ціни у відповідності до ДСТУ Б.Д.1.1-1:2013 з урахуванням змін та доповнень, а саме:</w:t>
      </w:r>
    </w:p>
    <w:p w:rsidR="00000000" w:rsidDel="00000000" w:rsidP="00000000" w:rsidRDefault="00000000" w:rsidRPr="00000000" w14:paraId="00000087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локальний кошторис;</w:t>
      </w:r>
    </w:p>
    <w:p w:rsidR="00000000" w:rsidDel="00000000" w:rsidP="00000000" w:rsidRDefault="00000000" w:rsidRPr="00000000" w14:paraId="00000088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зведений кошторис;</w:t>
      </w:r>
    </w:p>
    <w:p w:rsidR="00000000" w:rsidDel="00000000" w:rsidP="00000000" w:rsidRDefault="00000000" w:rsidRPr="00000000" w14:paraId="00000089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розрахунок вартості матеріальних ресурсів;</w:t>
      </w:r>
    </w:p>
    <w:p w:rsidR="00000000" w:rsidDel="00000000" w:rsidP="00000000" w:rsidRDefault="00000000" w:rsidRPr="00000000" w14:paraId="0000008A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Ознайомившись з технічними вимогами та вимогами проекту договору, що є додатком до вимог кваліфікації учасників, зазначити у ціновій пропозиції, що учасник має можливість і погоджується укласти договір та забезпечити Замовнику виконання робіт відповідної якості та установлені терміни. </w:t>
      </w:r>
    </w:p>
    <w:p w:rsidR="00000000" w:rsidDel="00000000" w:rsidP="00000000" w:rsidRDefault="00000000" w:rsidRPr="00000000" w14:paraId="0000008B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Учасник погоджується з умовами, що Замовник може відхилити надані пропозиції, та розуміє, що Замовник не обмежений у прийнятті будь-якої іншої пропозиції з більш вигідними умовами.</w:t>
      </w:r>
    </w:p>
    <w:p w:rsidR="00000000" w:rsidDel="00000000" w:rsidP="00000000" w:rsidRDefault="00000000" w:rsidRPr="00000000" w14:paraId="0000008C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Примітка: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Lines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Водовідвідні лотки торгової марки “Стандартпарк»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BetoMax 11.19.23  (Параметри: Артикул-04100; матеріал-фібробетон;  розмір 1000х190х230) та ФЕМ товщиною 8см в Закарпатській області не виготовляються. </w:t>
      </w:r>
    </w:p>
    <w:p w:rsidR="00000000" w:rsidDel="00000000" w:rsidP="00000000" w:rsidRDefault="00000000" w:rsidRPr="00000000" w14:paraId="0000008E">
      <w:pPr>
        <w:keepLines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Основні вимоги до підрядника: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участі в торгах запрошуються спеціалізовані підприємства та організації, що мають ліцензії на проведення відповідних робіт, досвід роботи за відповідним напрямком діяльності не менше 5-ти років з гарантійними зобов’язаннями не менше 6-х років.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Наявність кваліфікованого персоналу;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Наявність власного або орендованого асфальтобетонного заводу з відповідними дозвільними документами у Закарпатській області або договір на закупівлю асфальтобетонних сумішей від виробника. Крім цього повинна бути надана наступна інформація :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походження АБ суміші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яка планується до використання (дані заводу-виробника, адреса розташування заводу-виробника , марка(и), сертифікати якості);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випадку коли виконавець робіт, є і виробником АБ суміші, крім сертифікатів якості, надавати калькуляцію на виготовлення АБ суміші.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Допустимий час на транспортування асфальтобетонної суміші (АБС), який обов’язково має бути дотриманий від моменту випуску до укладання АБС – не більше 3 годин.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збереження якісних показників асфальтобетонних сумішей максимальні відстані транспортування АБС мають бути: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межах населеного пункту – 75 км;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ґрунтових дорогах або дорогах з каменю чи бруківки поза населеним пунктом – 110 км;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асфальтобетонних, цементобетонних дорогах або з чорного щебню поза населеним пунктом – 150 км.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Наявність власного або орендованого автотранспорту для транспортування сумішей(асфальтобетонних та сипучих);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Наявність власної або орендованої спецтехніки для виконання відповідних робіт, а саме: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Асфальтоукладальник на гусеничному ходу «типу Vogele»;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Автогудронатор;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Автогрейдер;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Бульдозер;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Екскаватор;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Котки дорожнi самохiдні вібраційні гладковальцеві різних масових категорій.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Підрядник  повинен мати  наступні документи, а саме: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spacing w:after="0" w:line="240" w:lineRule="auto"/>
        <w:ind w:left="1146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відповідні Дозволи або Декларації відповідності матеріально-технічної бази вимогам законодавства з питань охорони праці на виконання робіт підвищеної небезпеки (земляні роботи в зоні розташування підземних комунікацій) та експлуатацію обладнання підвищеної небезпеки, видані Державною службою України з питань праці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spacing w:after="0" w:line="240" w:lineRule="auto"/>
        <w:ind w:left="1146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документи, які підтверджують проходження навчання з питань охорони праці  керівного складу та ІТР, а також професійного навчання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709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9"/>
      <w:numFmt w:val="bullet"/>
      <w:lvlText w:val="-"/>
      <w:lvlJc w:val="left"/>
      <w:pPr>
        <w:ind w:left="786" w:hanging="360.0000000000001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86" w:hanging="360.0000000000001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